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7942D">
      <w:pPr>
        <w:jc w:val="right"/>
        <w:rPr>
          <w:rFonts w:ascii="Calibri" w:hAnsi="Calibri" w:cs="宋体"/>
          <w:sz w:val="28"/>
          <w:szCs w:val="32"/>
        </w:rPr>
      </w:pPr>
      <w:r>
        <w:rPr>
          <w:rFonts w:hint="eastAsia" w:ascii="Calibri" w:hAnsi="Calibri" w:cs="宋体"/>
          <w:sz w:val="28"/>
          <w:szCs w:val="32"/>
        </w:rPr>
        <w:t>【医疗】设备SJY-CG20</w:t>
      </w:r>
      <w:r>
        <w:rPr>
          <w:rFonts w:ascii="Calibri" w:hAnsi="Calibri" w:cs="宋体"/>
          <w:sz w:val="28"/>
          <w:szCs w:val="32"/>
        </w:rPr>
        <w:t>XX</w:t>
      </w:r>
      <w:r>
        <w:rPr>
          <w:rFonts w:hint="eastAsia" w:ascii="Calibri" w:hAnsi="Calibri" w:cs="宋体"/>
          <w:sz w:val="28"/>
          <w:szCs w:val="32"/>
        </w:rPr>
        <w:t>-</w:t>
      </w:r>
      <w:r>
        <w:rPr>
          <w:rFonts w:ascii="Calibri" w:hAnsi="Calibri" w:cs="宋体"/>
          <w:sz w:val="28"/>
          <w:szCs w:val="32"/>
        </w:rPr>
        <w:t>XXXX</w:t>
      </w:r>
    </w:p>
    <w:p w14:paraId="5129E65E">
      <w:pPr>
        <w:jc w:val="center"/>
        <w:rPr>
          <w:rFonts w:ascii="宋体" w:hAnsi="宋体" w:eastAsia="宋体" w:cs="宋体"/>
          <w:sz w:val="24"/>
        </w:rPr>
      </w:pPr>
    </w:p>
    <w:p w14:paraId="1E8DB577">
      <w:pPr>
        <w:ind w:firstLine="2120" w:firstLineChars="400"/>
        <w:jc w:val="center"/>
        <w:rPr>
          <w:rFonts w:ascii="黑体" w:hAnsi="黑体" w:eastAsia="黑体" w:cs="黑体"/>
          <w:b/>
          <w:spacing w:val="4"/>
          <w:sz w:val="52"/>
          <w:szCs w:val="52"/>
        </w:rPr>
      </w:pPr>
    </w:p>
    <w:p w14:paraId="44FB3900">
      <w:pPr>
        <w:jc w:val="center"/>
        <w:rPr>
          <w:rFonts w:ascii="黑体" w:hAnsi="黑体" w:eastAsia="黑体" w:cs="黑体"/>
          <w:b/>
          <w:spacing w:val="4"/>
          <w:sz w:val="52"/>
          <w:szCs w:val="52"/>
        </w:rPr>
      </w:pPr>
      <w:r>
        <w:rPr>
          <w:rFonts w:hint="eastAsia" w:ascii="黑体" w:hAnsi="黑体" w:eastAsia="黑体" w:cs="黑体"/>
          <w:b/>
          <w:spacing w:val="4"/>
          <w:sz w:val="52"/>
          <w:szCs w:val="52"/>
        </w:rPr>
        <w:t>陕西省交通医院货物类</w:t>
      </w:r>
    </w:p>
    <w:p w14:paraId="518B04EA">
      <w:pPr>
        <w:ind w:firstLine="1687" w:firstLineChars="350"/>
        <w:rPr>
          <w:rFonts w:ascii="黑体" w:hAnsi="黑体" w:eastAsia="黑体" w:cs="黑体"/>
          <w:b/>
          <w:spacing w:val="-20"/>
          <w:sz w:val="52"/>
          <w:szCs w:val="52"/>
        </w:rPr>
      </w:pPr>
    </w:p>
    <w:p w14:paraId="37B185B4">
      <w:pPr>
        <w:jc w:val="center"/>
        <w:rPr>
          <w:rFonts w:ascii="黑体" w:hAnsi="黑体" w:eastAsia="黑体" w:cs="黑体"/>
          <w:b/>
          <w:sz w:val="52"/>
          <w:szCs w:val="52"/>
        </w:rPr>
      </w:pPr>
    </w:p>
    <w:p w14:paraId="33BCE847">
      <w:pPr>
        <w:jc w:val="center"/>
        <w:rPr>
          <w:rFonts w:ascii="黑体" w:hAnsi="黑体" w:eastAsia="黑体" w:cs="黑体"/>
          <w:b/>
          <w:sz w:val="52"/>
          <w:szCs w:val="52"/>
        </w:rPr>
      </w:pPr>
    </w:p>
    <w:p w14:paraId="00EBF5E5">
      <w:pPr>
        <w:jc w:val="center"/>
        <w:rPr>
          <w:rFonts w:ascii="黑体" w:hAnsi="黑体" w:eastAsia="黑体" w:cs="黑体"/>
          <w:b/>
          <w:sz w:val="52"/>
          <w:szCs w:val="52"/>
        </w:rPr>
      </w:pPr>
      <w:r>
        <w:rPr>
          <w:rFonts w:hint="eastAsia" w:ascii="黑体" w:hAnsi="黑体" w:eastAsia="黑体" w:cs="黑体"/>
          <w:b/>
          <w:sz w:val="52"/>
          <w:szCs w:val="52"/>
        </w:rPr>
        <w:t xml:space="preserve">合 </w:t>
      </w:r>
      <w:r>
        <w:rPr>
          <w:rFonts w:ascii="黑体" w:hAnsi="黑体" w:eastAsia="黑体" w:cs="黑体"/>
          <w:b/>
          <w:sz w:val="52"/>
          <w:szCs w:val="52"/>
        </w:rPr>
        <w:t xml:space="preserve"> </w:t>
      </w:r>
      <w:r>
        <w:rPr>
          <w:rFonts w:hint="eastAsia" w:ascii="黑体" w:hAnsi="黑体" w:eastAsia="黑体" w:cs="黑体"/>
          <w:b/>
          <w:sz w:val="52"/>
          <w:szCs w:val="52"/>
        </w:rPr>
        <w:t xml:space="preserve"> 同</w:t>
      </w:r>
    </w:p>
    <w:p w14:paraId="7F8216AB">
      <w:pPr>
        <w:jc w:val="center"/>
        <w:rPr>
          <w:rFonts w:ascii="宋体" w:hAnsi="宋体" w:eastAsia="宋体" w:cs="宋体"/>
          <w:b/>
          <w:sz w:val="24"/>
        </w:rPr>
      </w:pPr>
    </w:p>
    <w:p w14:paraId="5EB9358F">
      <w:pPr>
        <w:ind w:firstLine="2640" w:firstLineChars="1100"/>
        <w:rPr>
          <w:rFonts w:ascii="宋体" w:hAnsi="宋体" w:eastAsia="宋体" w:cs="宋体"/>
          <w:sz w:val="24"/>
        </w:rPr>
      </w:pPr>
    </w:p>
    <w:p w14:paraId="1D3014AF">
      <w:pPr>
        <w:ind w:firstLine="960" w:firstLineChars="400"/>
        <w:rPr>
          <w:rFonts w:ascii="宋体" w:hAnsi="宋体" w:eastAsia="宋体" w:cs="宋体"/>
          <w:sz w:val="24"/>
        </w:rPr>
      </w:pPr>
    </w:p>
    <w:p w14:paraId="113BA242">
      <w:pPr>
        <w:ind w:firstLine="960" w:firstLineChars="400"/>
        <w:rPr>
          <w:rFonts w:ascii="宋体" w:hAnsi="宋体" w:eastAsia="宋体" w:cs="宋体"/>
          <w:sz w:val="24"/>
        </w:rPr>
      </w:pPr>
    </w:p>
    <w:p w14:paraId="09AAED8B">
      <w:pPr>
        <w:ind w:firstLine="960" w:firstLineChars="400"/>
        <w:rPr>
          <w:rFonts w:ascii="宋体" w:hAnsi="宋体" w:eastAsia="宋体" w:cs="宋体"/>
          <w:sz w:val="24"/>
        </w:rPr>
      </w:pPr>
    </w:p>
    <w:p w14:paraId="71E0FFBE">
      <w:pPr>
        <w:ind w:firstLine="960" w:firstLineChars="400"/>
        <w:rPr>
          <w:rFonts w:ascii="宋体" w:hAnsi="宋体" w:eastAsia="宋体" w:cs="宋体"/>
          <w:sz w:val="24"/>
        </w:rPr>
      </w:pPr>
    </w:p>
    <w:p w14:paraId="6BCEA52A">
      <w:pPr>
        <w:ind w:firstLine="960" w:firstLineChars="400"/>
        <w:rPr>
          <w:rFonts w:ascii="宋体" w:hAnsi="宋体" w:eastAsia="宋体" w:cs="宋体"/>
          <w:sz w:val="24"/>
        </w:rPr>
      </w:pPr>
    </w:p>
    <w:p w14:paraId="0EBA8C70">
      <w:pPr>
        <w:ind w:firstLine="960" w:firstLineChars="400"/>
        <w:rPr>
          <w:rFonts w:ascii="宋体" w:hAnsi="宋体" w:eastAsia="宋体" w:cs="宋体"/>
          <w:sz w:val="24"/>
        </w:rPr>
      </w:pPr>
    </w:p>
    <w:p w14:paraId="583675D6">
      <w:pPr>
        <w:ind w:firstLine="1280" w:firstLineChars="400"/>
        <w:rPr>
          <w:rFonts w:ascii="黑体" w:hAnsi="黑体" w:eastAsia="黑体" w:cs="黑体"/>
          <w:sz w:val="32"/>
          <w:szCs w:val="32"/>
          <w:u w:val="single"/>
        </w:rPr>
      </w:pPr>
      <w:r>
        <w:rPr>
          <w:rFonts w:hint="eastAsia" w:ascii="黑体" w:hAnsi="黑体" w:eastAsia="黑体" w:cs="黑体"/>
          <w:sz w:val="32"/>
          <w:szCs w:val="32"/>
        </w:rPr>
        <w:t>项目名称：</w:t>
      </w:r>
      <w:r>
        <w:rPr>
          <w:rFonts w:hint="eastAsia" w:ascii="黑体" w:hAnsi="黑体" w:eastAsia="黑体" w:cs="黑体"/>
          <w:sz w:val="32"/>
          <w:szCs w:val="32"/>
          <w:u w:val="single"/>
        </w:rPr>
        <w:t xml:space="preserve"> </w:t>
      </w:r>
      <w:r>
        <w:rPr>
          <w:rFonts w:hint="eastAsia" w:ascii="黑体" w:hAnsi="黑体" w:eastAsia="黑体" w:cs="黑体"/>
          <w:b/>
          <w:sz w:val="28"/>
          <w:szCs w:val="22"/>
          <w:u w:val="single"/>
        </w:rPr>
        <w:t>陕西省交通医院临床医疗设备采购项目</w:t>
      </w:r>
      <w:r>
        <w:rPr>
          <w:rFonts w:hint="eastAsia" w:ascii="黑体" w:hAnsi="黑体" w:eastAsia="黑体" w:cs="黑体"/>
          <w:sz w:val="32"/>
          <w:szCs w:val="32"/>
          <w:u w:val="single"/>
        </w:rPr>
        <w:t xml:space="preserve">      </w:t>
      </w:r>
    </w:p>
    <w:p w14:paraId="7D80A16F">
      <w:pPr>
        <w:ind w:firstLine="1280" w:firstLineChars="400"/>
        <w:rPr>
          <w:rFonts w:ascii="黑体" w:hAnsi="黑体" w:eastAsia="黑体" w:cs="黑体"/>
          <w:sz w:val="32"/>
          <w:szCs w:val="32"/>
          <w:u w:val="single"/>
        </w:rPr>
      </w:pPr>
      <w:r>
        <w:rPr>
          <w:rFonts w:hint="eastAsia" w:ascii="黑体" w:hAnsi="黑体" w:eastAsia="黑体" w:cs="黑体"/>
          <w:sz w:val="32"/>
          <w:szCs w:val="32"/>
        </w:rPr>
        <w:t>项目编号：</w:t>
      </w:r>
      <w:r>
        <w:rPr>
          <w:rFonts w:hint="eastAsia" w:ascii="黑体" w:hAnsi="黑体" w:eastAsia="黑体" w:cs="黑体"/>
          <w:sz w:val="32"/>
          <w:szCs w:val="32"/>
          <w:u w:val="single"/>
        </w:rPr>
        <w:t xml:space="preserve"> </w:t>
      </w:r>
      <w:r>
        <w:rPr>
          <w:rFonts w:ascii="黑体" w:hAnsi="黑体" w:eastAsia="黑体" w:cs="黑体"/>
          <w:b/>
          <w:sz w:val="32"/>
          <w:szCs w:val="32"/>
          <w:u w:val="single"/>
        </w:rPr>
        <w:t xml:space="preserve"> </w:t>
      </w:r>
      <w:r>
        <w:rPr>
          <w:rFonts w:hint="eastAsia" w:ascii="黑体" w:hAnsi="黑体" w:eastAsia="黑体" w:cs="黑体"/>
          <w:sz w:val="32"/>
          <w:szCs w:val="32"/>
          <w:u w:val="single"/>
        </w:rPr>
        <w:t>HCKPZY-ZB-2025041</w:t>
      </w:r>
      <w:r>
        <w:rPr>
          <w:rFonts w:ascii="黑体" w:hAnsi="黑体" w:eastAsia="黑体" w:cs="黑体"/>
          <w:sz w:val="32"/>
          <w:szCs w:val="32"/>
          <w:u w:val="single"/>
        </w:rPr>
        <w:t xml:space="preserve">  </w:t>
      </w:r>
      <w:r>
        <w:rPr>
          <w:rFonts w:hint="eastAsia" w:ascii="黑体" w:hAnsi="黑体" w:eastAsia="黑体" w:cs="黑体"/>
          <w:sz w:val="32"/>
          <w:szCs w:val="32"/>
          <w:u w:val="single"/>
        </w:rPr>
        <w:t xml:space="preserve">    </w:t>
      </w:r>
    </w:p>
    <w:p w14:paraId="07351A75">
      <w:pPr>
        <w:jc w:val="center"/>
        <w:rPr>
          <w:rFonts w:ascii="黑体" w:hAnsi="黑体" w:eastAsia="黑体" w:cs="黑体"/>
          <w:sz w:val="32"/>
          <w:szCs w:val="32"/>
        </w:rPr>
      </w:pPr>
    </w:p>
    <w:p w14:paraId="2ECB0892">
      <w:pPr>
        <w:jc w:val="center"/>
        <w:rPr>
          <w:rFonts w:ascii="黑体" w:hAnsi="黑体" w:eastAsia="黑体" w:cs="黑体"/>
          <w:sz w:val="32"/>
          <w:szCs w:val="32"/>
        </w:rPr>
      </w:pPr>
    </w:p>
    <w:p w14:paraId="1019F984">
      <w:pPr>
        <w:ind w:firstLine="2240" w:firstLineChars="700"/>
        <w:rPr>
          <w:rFonts w:ascii="黑体" w:hAnsi="黑体" w:eastAsia="黑体" w:cs="黑体"/>
          <w:sz w:val="32"/>
          <w:szCs w:val="32"/>
          <w:lang w:eastAsia="zh-Hans"/>
        </w:rPr>
      </w:pPr>
      <w:r>
        <w:rPr>
          <w:rFonts w:hint="eastAsia" w:ascii="黑体" w:hAnsi="黑体" w:eastAsia="黑体" w:cs="黑体"/>
          <w:sz w:val="32"/>
          <w:szCs w:val="32"/>
        </w:rPr>
        <w:t>甲  方：</w:t>
      </w:r>
      <w:r>
        <w:rPr>
          <w:rFonts w:hint="eastAsia" w:ascii="黑体" w:hAnsi="黑体" w:eastAsia="黑体" w:cs="黑体"/>
          <w:sz w:val="32"/>
          <w:szCs w:val="32"/>
          <w:lang w:eastAsia="zh-Hans"/>
        </w:rPr>
        <w:t>陕西省交通医院</w:t>
      </w:r>
    </w:p>
    <w:p w14:paraId="44EFAFE0">
      <w:pPr>
        <w:tabs>
          <w:tab w:val="left" w:pos="480"/>
        </w:tabs>
        <w:ind w:firstLine="2240" w:firstLineChars="700"/>
        <w:rPr>
          <w:rFonts w:ascii="黑体" w:hAnsi="黑体" w:eastAsia="黑体" w:cs="黑体"/>
          <w:sz w:val="32"/>
          <w:szCs w:val="32"/>
          <w:lang w:eastAsia="zh-Hans"/>
        </w:rPr>
      </w:pPr>
      <w:r>
        <w:rPr>
          <w:rFonts w:hint="eastAsia" w:ascii="黑体" w:hAnsi="黑体" w:eastAsia="黑体" w:cs="黑体"/>
          <w:sz w:val="32"/>
          <w:szCs w:val="32"/>
          <w:lang w:eastAsia="zh-Hans"/>
        </w:rPr>
        <w:t>乙  方：</w:t>
      </w:r>
      <w:r>
        <w:rPr>
          <w:rFonts w:hint="eastAsia" w:ascii="黑体" w:hAnsi="黑体" w:eastAsia="黑体" w:cs="黑体"/>
          <w:sz w:val="32"/>
          <w:szCs w:val="32"/>
        </w:rPr>
        <w:t xml:space="preserve"> </w:t>
      </w:r>
      <w:r>
        <w:rPr>
          <w:rFonts w:hint="eastAsia" w:ascii="黑体" w:hAnsi="黑体" w:eastAsia="黑体" w:cs="黑体"/>
          <w:sz w:val="32"/>
          <w:szCs w:val="32"/>
          <w:lang w:eastAsia="zh-Hans"/>
        </w:rPr>
        <w:t xml:space="preserve">              </w:t>
      </w:r>
    </w:p>
    <w:p w14:paraId="45CAD054">
      <w:pPr>
        <w:rPr>
          <w:rFonts w:ascii="黑体" w:hAnsi="黑体" w:eastAsia="黑体" w:cs="黑体"/>
          <w:sz w:val="32"/>
          <w:szCs w:val="32"/>
        </w:rPr>
      </w:pPr>
      <w:r>
        <w:rPr>
          <w:rFonts w:hint="eastAsia" w:ascii="黑体" w:hAnsi="黑体" w:eastAsia="黑体" w:cs="黑体"/>
          <w:sz w:val="32"/>
          <w:szCs w:val="32"/>
        </w:rPr>
        <w:t xml:space="preserve">            </w:t>
      </w:r>
    </w:p>
    <w:p w14:paraId="2E98D26F">
      <w:pPr>
        <w:ind w:firstLine="3200" w:firstLineChars="1000"/>
        <w:rPr>
          <w:rFonts w:ascii="黑体" w:hAnsi="黑体" w:eastAsia="黑体" w:cs="黑体"/>
          <w:sz w:val="32"/>
          <w:szCs w:val="32"/>
        </w:rPr>
      </w:pPr>
      <w:r>
        <w:rPr>
          <w:rFonts w:hint="eastAsia" w:ascii="黑体" w:hAnsi="黑体" w:eastAsia="黑体" w:cs="黑体"/>
          <w:sz w:val="32"/>
          <w:szCs w:val="32"/>
        </w:rPr>
        <w:t>二O二五年十月</w:t>
      </w:r>
    </w:p>
    <w:p w14:paraId="513C955B">
      <w:pPr>
        <w:spacing w:line="360" w:lineRule="auto"/>
        <w:rPr>
          <w:rFonts w:ascii="宋体" w:hAnsi="宋体" w:eastAsia="宋体" w:cs="宋体"/>
          <w:sz w:val="24"/>
          <w:lang w:eastAsia="zh-Hans"/>
        </w:rPr>
      </w:pPr>
      <w:r>
        <w:rPr>
          <w:rFonts w:hint="eastAsia" w:ascii="宋体" w:hAnsi="宋体" w:eastAsia="宋体" w:cs="宋体"/>
          <w:sz w:val="24"/>
        </w:rPr>
        <w:t>甲方：</w:t>
      </w:r>
      <w:r>
        <w:rPr>
          <w:rFonts w:hint="eastAsia" w:ascii="宋体" w:hAnsi="宋体" w:eastAsia="宋体" w:cs="宋体"/>
          <w:sz w:val="24"/>
          <w:lang w:eastAsia="zh-Hans"/>
        </w:rPr>
        <w:t>陕西省交通医院</w:t>
      </w:r>
    </w:p>
    <w:p w14:paraId="319C7B6A">
      <w:pPr>
        <w:spacing w:line="360" w:lineRule="auto"/>
        <w:rPr>
          <w:rFonts w:ascii="宋体" w:hAnsi="宋体" w:eastAsia="宋体" w:cs="宋体"/>
          <w:sz w:val="24"/>
        </w:rPr>
      </w:pPr>
      <w:r>
        <w:rPr>
          <w:rFonts w:hint="eastAsia" w:ascii="宋体" w:hAnsi="宋体" w:eastAsia="宋体" w:cs="宋体"/>
          <w:sz w:val="24"/>
        </w:rPr>
        <w:t xml:space="preserve">乙方： </w:t>
      </w:r>
    </w:p>
    <w:p w14:paraId="36B13D7F">
      <w:pPr>
        <w:spacing w:line="360" w:lineRule="auto"/>
        <w:ind w:firstLine="480" w:firstLineChars="200"/>
        <w:rPr>
          <w:rFonts w:ascii="宋体" w:hAnsi="宋体" w:eastAsia="宋体" w:cs="宋体"/>
          <w:sz w:val="24"/>
        </w:rPr>
      </w:pPr>
      <w:r>
        <w:rPr>
          <w:rFonts w:hint="eastAsia" w:ascii="宋体" w:hAnsi="宋体" w:eastAsia="宋体" w:cs="宋体"/>
          <w:sz w:val="24"/>
        </w:rPr>
        <w:t>甲方按照政府采购程序组织招标，确定乙方为成交供应商。依据《中华人民共和国政府采购法》、《中华人民共和国招标投标法》、《中华人民共和国民法典》，经甲、乙双方协商、确认，达成如下条款。</w:t>
      </w:r>
    </w:p>
    <w:p w14:paraId="50B415DE">
      <w:pPr>
        <w:tabs>
          <w:tab w:val="left" w:pos="480"/>
        </w:tabs>
        <w:spacing w:line="360" w:lineRule="auto"/>
        <w:rPr>
          <w:rFonts w:ascii="宋体" w:hAnsi="宋体" w:eastAsia="宋体" w:cs="宋体"/>
          <w:b/>
          <w:bCs/>
          <w:sz w:val="24"/>
          <w:lang w:val="zh-CN"/>
        </w:rPr>
      </w:pPr>
      <w:r>
        <w:rPr>
          <w:rFonts w:hint="eastAsia" w:ascii="宋体" w:hAnsi="宋体" w:eastAsia="宋体" w:cs="宋体"/>
          <w:b/>
          <w:bCs/>
          <w:sz w:val="24"/>
          <w:lang w:val="zh-CN"/>
        </w:rPr>
        <w:t>一、合同标的货物内容及数量</w:t>
      </w:r>
    </w:p>
    <w:tbl>
      <w:tblPr>
        <w:tblStyle w:val="3"/>
        <w:tblW w:w="94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120"/>
        <w:gridCol w:w="310"/>
        <w:gridCol w:w="1112"/>
        <w:gridCol w:w="750"/>
        <w:gridCol w:w="1713"/>
        <w:gridCol w:w="1232"/>
        <w:gridCol w:w="625"/>
        <w:gridCol w:w="913"/>
        <w:gridCol w:w="800"/>
        <w:gridCol w:w="417"/>
      </w:tblGrid>
      <w:tr w14:paraId="38FA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425" w:type="dxa"/>
            <w:noWrap w:val="0"/>
            <w:vAlign w:val="center"/>
          </w:tcPr>
          <w:p w14:paraId="478F602D">
            <w:pPr>
              <w:tabs>
                <w:tab w:val="left" w:pos="480"/>
              </w:tabs>
              <w:jc w:val="center"/>
              <w:rPr>
                <w:rFonts w:ascii="宋体" w:hAnsi="宋体" w:eastAsia="宋体" w:cs="宋体"/>
                <w:sz w:val="18"/>
                <w:szCs w:val="18"/>
              </w:rPr>
            </w:pPr>
            <w:r>
              <w:rPr>
                <w:rFonts w:hint="eastAsia" w:ascii="宋体" w:hAnsi="宋体" w:eastAsia="宋体" w:cs="宋体"/>
                <w:sz w:val="18"/>
                <w:szCs w:val="18"/>
              </w:rPr>
              <w:t>序号</w:t>
            </w:r>
          </w:p>
        </w:tc>
        <w:tc>
          <w:tcPr>
            <w:tcW w:w="1430" w:type="dxa"/>
            <w:gridSpan w:val="2"/>
            <w:noWrap w:val="0"/>
            <w:vAlign w:val="center"/>
          </w:tcPr>
          <w:p w14:paraId="31B77DFE">
            <w:pPr>
              <w:tabs>
                <w:tab w:val="left" w:pos="480"/>
              </w:tabs>
              <w:jc w:val="center"/>
              <w:rPr>
                <w:rFonts w:ascii="宋体" w:hAnsi="宋体" w:eastAsia="宋体" w:cs="宋体"/>
                <w:sz w:val="18"/>
                <w:szCs w:val="18"/>
              </w:rPr>
            </w:pPr>
            <w:r>
              <w:rPr>
                <w:rFonts w:hint="eastAsia" w:ascii="宋体" w:hAnsi="宋体" w:eastAsia="宋体" w:cs="宋体"/>
                <w:sz w:val="18"/>
                <w:szCs w:val="18"/>
              </w:rPr>
              <w:t>设备名称</w:t>
            </w:r>
          </w:p>
        </w:tc>
        <w:tc>
          <w:tcPr>
            <w:tcW w:w="1112" w:type="dxa"/>
            <w:noWrap w:val="0"/>
            <w:vAlign w:val="center"/>
          </w:tcPr>
          <w:p w14:paraId="34D3B986">
            <w:pPr>
              <w:tabs>
                <w:tab w:val="left" w:pos="480"/>
              </w:tabs>
              <w:jc w:val="center"/>
              <w:rPr>
                <w:rFonts w:ascii="宋体" w:hAnsi="宋体" w:eastAsia="宋体" w:cs="宋体"/>
                <w:sz w:val="18"/>
                <w:szCs w:val="18"/>
              </w:rPr>
            </w:pPr>
            <w:r>
              <w:rPr>
                <w:rFonts w:hint="eastAsia" w:ascii="宋体" w:hAnsi="宋体" w:eastAsia="宋体" w:cs="宋体"/>
                <w:sz w:val="18"/>
                <w:szCs w:val="18"/>
              </w:rPr>
              <w:t>规格型号</w:t>
            </w:r>
          </w:p>
        </w:tc>
        <w:tc>
          <w:tcPr>
            <w:tcW w:w="750" w:type="dxa"/>
            <w:noWrap w:val="0"/>
            <w:vAlign w:val="center"/>
          </w:tcPr>
          <w:p w14:paraId="5A79A23D">
            <w:pPr>
              <w:tabs>
                <w:tab w:val="left" w:pos="480"/>
              </w:tabs>
              <w:jc w:val="center"/>
              <w:rPr>
                <w:rFonts w:ascii="宋体" w:hAnsi="宋体" w:eastAsia="宋体" w:cs="宋体"/>
                <w:sz w:val="18"/>
                <w:szCs w:val="18"/>
              </w:rPr>
            </w:pPr>
            <w:r>
              <w:rPr>
                <w:rFonts w:hint="eastAsia" w:ascii="宋体" w:hAnsi="宋体" w:eastAsia="宋体" w:cs="宋体"/>
                <w:sz w:val="18"/>
                <w:szCs w:val="18"/>
              </w:rPr>
              <w:t>品牌</w:t>
            </w:r>
          </w:p>
        </w:tc>
        <w:tc>
          <w:tcPr>
            <w:tcW w:w="1713" w:type="dxa"/>
            <w:noWrap w:val="0"/>
            <w:vAlign w:val="center"/>
          </w:tcPr>
          <w:p w14:paraId="396734F5">
            <w:pPr>
              <w:tabs>
                <w:tab w:val="left" w:pos="480"/>
              </w:tabs>
              <w:jc w:val="center"/>
              <w:rPr>
                <w:rFonts w:ascii="宋体" w:hAnsi="宋体" w:eastAsia="宋体" w:cs="宋体"/>
                <w:sz w:val="18"/>
                <w:szCs w:val="18"/>
              </w:rPr>
            </w:pPr>
            <w:r>
              <w:rPr>
                <w:rFonts w:hint="eastAsia" w:ascii="宋体" w:hAnsi="宋体" w:eastAsia="宋体" w:cs="宋体"/>
                <w:sz w:val="18"/>
                <w:szCs w:val="18"/>
              </w:rPr>
              <w:t>生产厂家</w:t>
            </w:r>
          </w:p>
        </w:tc>
        <w:tc>
          <w:tcPr>
            <w:tcW w:w="1232" w:type="dxa"/>
            <w:noWrap w:val="0"/>
            <w:vAlign w:val="center"/>
          </w:tcPr>
          <w:p w14:paraId="4204E9F9">
            <w:pPr>
              <w:jc w:val="center"/>
              <w:rPr>
                <w:rFonts w:ascii="宋体" w:hAnsi="宋体" w:eastAsia="宋体" w:cs="宋体"/>
                <w:sz w:val="18"/>
                <w:szCs w:val="18"/>
              </w:rPr>
            </w:pPr>
            <w:r>
              <w:rPr>
                <w:rFonts w:hint="eastAsia" w:ascii="宋体" w:hAnsi="宋体" w:eastAsia="宋体" w:cs="宋体"/>
                <w:sz w:val="18"/>
                <w:szCs w:val="18"/>
              </w:rPr>
              <w:t>计量单位</w:t>
            </w:r>
          </w:p>
        </w:tc>
        <w:tc>
          <w:tcPr>
            <w:tcW w:w="625" w:type="dxa"/>
            <w:noWrap w:val="0"/>
            <w:vAlign w:val="center"/>
          </w:tcPr>
          <w:p w14:paraId="5E14DC05">
            <w:pPr>
              <w:tabs>
                <w:tab w:val="left" w:pos="480"/>
              </w:tabs>
              <w:jc w:val="center"/>
              <w:rPr>
                <w:rFonts w:ascii="宋体" w:hAnsi="宋体" w:eastAsia="宋体" w:cs="宋体"/>
                <w:sz w:val="18"/>
                <w:szCs w:val="18"/>
              </w:rPr>
            </w:pPr>
            <w:r>
              <w:rPr>
                <w:rFonts w:hint="eastAsia" w:ascii="宋体" w:hAnsi="宋体" w:eastAsia="宋体" w:cs="宋体"/>
                <w:sz w:val="18"/>
                <w:szCs w:val="18"/>
              </w:rPr>
              <w:t>数量</w:t>
            </w:r>
          </w:p>
        </w:tc>
        <w:tc>
          <w:tcPr>
            <w:tcW w:w="913" w:type="dxa"/>
            <w:noWrap w:val="0"/>
            <w:vAlign w:val="center"/>
          </w:tcPr>
          <w:p w14:paraId="6D1EDE46">
            <w:pPr>
              <w:tabs>
                <w:tab w:val="left" w:pos="480"/>
              </w:tabs>
              <w:jc w:val="center"/>
              <w:rPr>
                <w:rFonts w:ascii="宋体" w:hAnsi="宋体" w:eastAsia="宋体" w:cs="宋体"/>
                <w:sz w:val="18"/>
                <w:szCs w:val="18"/>
              </w:rPr>
            </w:pPr>
            <w:r>
              <w:rPr>
                <w:rFonts w:hint="eastAsia" w:ascii="宋体" w:hAnsi="宋体" w:eastAsia="宋体" w:cs="宋体"/>
                <w:sz w:val="18"/>
                <w:szCs w:val="18"/>
              </w:rPr>
              <w:t>单价</w:t>
            </w:r>
          </w:p>
          <w:p w14:paraId="32F2646B">
            <w:pPr>
              <w:tabs>
                <w:tab w:val="left" w:pos="480"/>
              </w:tabs>
              <w:jc w:val="center"/>
              <w:rPr>
                <w:rFonts w:ascii="宋体" w:hAnsi="宋体" w:eastAsia="宋体" w:cs="宋体"/>
                <w:sz w:val="15"/>
                <w:szCs w:val="15"/>
              </w:rPr>
            </w:pPr>
            <w:r>
              <w:rPr>
                <w:rFonts w:hint="eastAsia" w:ascii="宋体" w:hAnsi="宋体" w:eastAsia="宋体" w:cs="宋体"/>
                <w:sz w:val="15"/>
                <w:szCs w:val="15"/>
              </w:rPr>
              <w:t>（万元）</w:t>
            </w:r>
          </w:p>
        </w:tc>
        <w:tc>
          <w:tcPr>
            <w:tcW w:w="800" w:type="dxa"/>
            <w:noWrap w:val="0"/>
            <w:vAlign w:val="center"/>
          </w:tcPr>
          <w:p w14:paraId="3999AD05">
            <w:pPr>
              <w:tabs>
                <w:tab w:val="left" w:pos="480"/>
              </w:tabs>
              <w:jc w:val="center"/>
              <w:rPr>
                <w:rFonts w:ascii="宋体" w:hAnsi="宋体" w:eastAsia="宋体" w:cs="宋体"/>
                <w:sz w:val="18"/>
                <w:szCs w:val="18"/>
              </w:rPr>
            </w:pPr>
            <w:r>
              <w:rPr>
                <w:rFonts w:hint="eastAsia" w:ascii="宋体" w:hAnsi="宋体" w:eastAsia="宋体" w:cs="宋体"/>
                <w:sz w:val="18"/>
                <w:szCs w:val="18"/>
              </w:rPr>
              <w:t>金额</w:t>
            </w:r>
          </w:p>
          <w:p w14:paraId="0B43BDD4">
            <w:pPr>
              <w:tabs>
                <w:tab w:val="left" w:pos="480"/>
              </w:tabs>
              <w:jc w:val="center"/>
              <w:rPr>
                <w:rFonts w:ascii="宋体" w:hAnsi="宋体" w:eastAsia="宋体" w:cs="宋体"/>
                <w:sz w:val="15"/>
                <w:szCs w:val="15"/>
              </w:rPr>
            </w:pPr>
            <w:r>
              <w:rPr>
                <w:rFonts w:hint="eastAsia" w:ascii="宋体" w:hAnsi="宋体" w:eastAsia="宋体" w:cs="宋体"/>
                <w:sz w:val="15"/>
                <w:szCs w:val="15"/>
              </w:rPr>
              <w:t>（万元）</w:t>
            </w:r>
          </w:p>
        </w:tc>
        <w:tc>
          <w:tcPr>
            <w:tcW w:w="417" w:type="dxa"/>
            <w:noWrap w:val="0"/>
            <w:vAlign w:val="center"/>
          </w:tcPr>
          <w:p w14:paraId="4C070B03">
            <w:pPr>
              <w:tabs>
                <w:tab w:val="left" w:pos="480"/>
              </w:tabs>
              <w:jc w:val="center"/>
              <w:rPr>
                <w:rFonts w:ascii="宋体" w:hAnsi="宋体" w:eastAsia="宋体" w:cs="宋体"/>
                <w:sz w:val="18"/>
                <w:szCs w:val="18"/>
              </w:rPr>
            </w:pPr>
            <w:r>
              <w:rPr>
                <w:rFonts w:hint="eastAsia" w:ascii="宋体" w:hAnsi="宋体" w:eastAsia="宋体" w:cs="宋体"/>
                <w:sz w:val="18"/>
                <w:szCs w:val="18"/>
              </w:rPr>
              <w:t>备注</w:t>
            </w:r>
          </w:p>
        </w:tc>
      </w:tr>
      <w:tr w14:paraId="76D6F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noWrap w:val="0"/>
            <w:vAlign w:val="center"/>
          </w:tcPr>
          <w:p w14:paraId="3F11BC7B">
            <w:pPr>
              <w:tabs>
                <w:tab w:val="left" w:pos="480"/>
              </w:tabs>
              <w:jc w:val="center"/>
              <w:rPr>
                <w:rFonts w:ascii="宋体" w:hAnsi="宋体" w:eastAsia="宋体" w:cs="宋体"/>
                <w:sz w:val="18"/>
                <w:szCs w:val="18"/>
              </w:rPr>
            </w:pPr>
          </w:p>
        </w:tc>
        <w:tc>
          <w:tcPr>
            <w:tcW w:w="1430" w:type="dxa"/>
            <w:gridSpan w:val="2"/>
            <w:noWrap w:val="0"/>
            <w:vAlign w:val="center"/>
          </w:tcPr>
          <w:p w14:paraId="798BF08B">
            <w:pPr>
              <w:widowControl/>
              <w:jc w:val="center"/>
              <w:textAlignment w:val="center"/>
              <w:rPr>
                <w:rFonts w:ascii="宋体" w:hAnsi="宋体" w:eastAsia="宋体" w:cs="宋体"/>
                <w:sz w:val="18"/>
                <w:szCs w:val="18"/>
              </w:rPr>
            </w:pPr>
          </w:p>
        </w:tc>
        <w:tc>
          <w:tcPr>
            <w:tcW w:w="1112" w:type="dxa"/>
            <w:noWrap w:val="0"/>
            <w:vAlign w:val="center"/>
          </w:tcPr>
          <w:p w14:paraId="4FAA6C6D">
            <w:pPr>
              <w:widowControl/>
              <w:jc w:val="center"/>
              <w:textAlignment w:val="center"/>
              <w:rPr>
                <w:rFonts w:ascii="宋体" w:hAnsi="宋体" w:eastAsia="宋体" w:cs="宋体"/>
                <w:sz w:val="18"/>
                <w:szCs w:val="18"/>
              </w:rPr>
            </w:pPr>
          </w:p>
        </w:tc>
        <w:tc>
          <w:tcPr>
            <w:tcW w:w="750" w:type="dxa"/>
            <w:noWrap w:val="0"/>
            <w:vAlign w:val="center"/>
          </w:tcPr>
          <w:p w14:paraId="06186EA2">
            <w:pPr>
              <w:widowControl/>
              <w:jc w:val="center"/>
              <w:textAlignment w:val="center"/>
              <w:rPr>
                <w:rFonts w:ascii="宋体" w:hAnsi="宋体" w:eastAsia="宋体" w:cs="宋体"/>
                <w:sz w:val="18"/>
                <w:szCs w:val="18"/>
              </w:rPr>
            </w:pPr>
          </w:p>
        </w:tc>
        <w:tc>
          <w:tcPr>
            <w:tcW w:w="1713" w:type="dxa"/>
            <w:noWrap w:val="0"/>
            <w:vAlign w:val="center"/>
          </w:tcPr>
          <w:p w14:paraId="60D541A4">
            <w:pPr>
              <w:widowControl/>
              <w:jc w:val="center"/>
              <w:textAlignment w:val="center"/>
              <w:rPr>
                <w:rFonts w:ascii="宋体" w:hAnsi="宋体" w:eastAsia="宋体" w:cs="宋体"/>
                <w:sz w:val="18"/>
                <w:szCs w:val="18"/>
              </w:rPr>
            </w:pPr>
          </w:p>
        </w:tc>
        <w:tc>
          <w:tcPr>
            <w:tcW w:w="1232" w:type="dxa"/>
            <w:noWrap w:val="0"/>
            <w:vAlign w:val="center"/>
          </w:tcPr>
          <w:p w14:paraId="42E76B1F">
            <w:pPr>
              <w:widowControl/>
              <w:jc w:val="center"/>
              <w:textAlignment w:val="center"/>
              <w:rPr>
                <w:rFonts w:ascii="宋体" w:hAnsi="宋体" w:eastAsia="宋体" w:cs="宋体"/>
                <w:sz w:val="18"/>
                <w:szCs w:val="18"/>
              </w:rPr>
            </w:pPr>
          </w:p>
        </w:tc>
        <w:tc>
          <w:tcPr>
            <w:tcW w:w="625" w:type="dxa"/>
            <w:noWrap w:val="0"/>
            <w:vAlign w:val="center"/>
          </w:tcPr>
          <w:p w14:paraId="2B464071">
            <w:pPr>
              <w:widowControl/>
              <w:jc w:val="center"/>
              <w:textAlignment w:val="center"/>
              <w:rPr>
                <w:rFonts w:ascii="宋体" w:hAnsi="宋体" w:eastAsia="宋体" w:cs="宋体"/>
                <w:sz w:val="18"/>
                <w:szCs w:val="18"/>
              </w:rPr>
            </w:pPr>
          </w:p>
        </w:tc>
        <w:tc>
          <w:tcPr>
            <w:tcW w:w="913" w:type="dxa"/>
            <w:noWrap w:val="0"/>
            <w:vAlign w:val="center"/>
          </w:tcPr>
          <w:p w14:paraId="1EF2D4D4">
            <w:pPr>
              <w:widowControl/>
              <w:jc w:val="center"/>
              <w:textAlignment w:val="center"/>
              <w:rPr>
                <w:rFonts w:ascii="宋体" w:hAnsi="宋体" w:eastAsia="宋体" w:cs="宋体"/>
                <w:sz w:val="18"/>
                <w:szCs w:val="18"/>
              </w:rPr>
            </w:pPr>
          </w:p>
        </w:tc>
        <w:tc>
          <w:tcPr>
            <w:tcW w:w="800" w:type="dxa"/>
            <w:noWrap w:val="0"/>
            <w:vAlign w:val="center"/>
          </w:tcPr>
          <w:p w14:paraId="7C60AEB9">
            <w:pPr>
              <w:widowControl/>
              <w:jc w:val="center"/>
              <w:textAlignment w:val="center"/>
              <w:rPr>
                <w:rFonts w:ascii="宋体" w:hAnsi="宋体" w:eastAsia="宋体" w:cs="宋体"/>
                <w:sz w:val="18"/>
                <w:szCs w:val="18"/>
              </w:rPr>
            </w:pPr>
          </w:p>
        </w:tc>
        <w:tc>
          <w:tcPr>
            <w:tcW w:w="417" w:type="dxa"/>
            <w:noWrap w:val="0"/>
            <w:vAlign w:val="top"/>
          </w:tcPr>
          <w:p w14:paraId="4173338F">
            <w:pPr>
              <w:tabs>
                <w:tab w:val="left" w:pos="480"/>
              </w:tabs>
              <w:jc w:val="center"/>
              <w:rPr>
                <w:rFonts w:ascii="宋体" w:hAnsi="宋体" w:eastAsia="宋体" w:cs="宋体"/>
                <w:sz w:val="18"/>
                <w:szCs w:val="18"/>
              </w:rPr>
            </w:pPr>
          </w:p>
        </w:tc>
      </w:tr>
      <w:tr w14:paraId="1DE3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noWrap w:val="0"/>
            <w:vAlign w:val="center"/>
          </w:tcPr>
          <w:p w14:paraId="62E9361E">
            <w:pPr>
              <w:widowControl/>
              <w:jc w:val="center"/>
              <w:textAlignment w:val="center"/>
              <w:rPr>
                <w:rFonts w:ascii="宋体" w:hAnsi="宋体" w:eastAsia="宋体" w:cs="宋体"/>
                <w:sz w:val="18"/>
                <w:szCs w:val="18"/>
              </w:rPr>
            </w:pPr>
          </w:p>
        </w:tc>
        <w:tc>
          <w:tcPr>
            <w:tcW w:w="1430" w:type="dxa"/>
            <w:gridSpan w:val="2"/>
            <w:noWrap w:val="0"/>
            <w:vAlign w:val="center"/>
          </w:tcPr>
          <w:p w14:paraId="24825E22">
            <w:pPr>
              <w:widowControl/>
              <w:jc w:val="center"/>
              <w:textAlignment w:val="center"/>
              <w:rPr>
                <w:rFonts w:ascii="宋体" w:hAnsi="宋体" w:eastAsia="宋体" w:cs="宋体"/>
                <w:sz w:val="18"/>
                <w:szCs w:val="18"/>
              </w:rPr>
            </w:pPr>
          </w:p>
        </w:tc>
        <w:tc>
          <w:tcPr>
            <w:tcW w:w="1112" w:type="dxa"/>
            <w:noWrap w:val="0"/>
            <w:vAlign w:val="center"/>
          </w:tcPr>
          <w:p w14:paraId="40DDA891">
            <w:pPr>
              <w:widowControl/>
              <w:jc w:val="center"/>
              <w:textAlignment w:val="center"/>
              <w:rPr>
                <w:rFonts w:ascii="宋体" w:hAnsi="宋体" w:eastAsia="宋体" w:cs="宋体"/>
                <w:sz w:val="18"/>
                <w:szCs w:val="18"/>
              </w:rPr>
            </w:pPr>
          </w:p>
        </w:tc>
        <w:tc>
          <w:tcPr>
            <w:tcW w:w="750" w:type="dxa"/>
            <w:noWrap w:val="0"/>
            <w:vAlign w:val="center"/>
          </w:tcPr>
          <w:p w14:paraId="35F5B5D1">
            <w:pPr>
              <w:widowControl/>
              <w:jc w:val="center"/>
              <w:textAlignment w:val="top"/>
              <w:rPr>
                <w:rFonts w:ascii="宋体" w:hAnsi="宋体" w:eastAsia="宋体" w:cs="宋体"/>
                <w:sz w:val="18"/>
                <w:szCs w:val="18"/>
              </w:rPr>
            </w:pPr>
          </w:p>
        </w:tc>
        <w:tc>
          <w:tcPr>
            <w:tcW w:w="1713" w:type="dxa"/>
            <w:noWrap w:val="0"/>
            <w:vAlign w:val="center"/>
          </w:tcPr>
          <w:p w14:paraId="17A2B102">
            <w:pPr>
              <w:widowControl/>
              <w:jc w:val="center"/>
              <w:textAlignment w:val="top"/>
              <w:rPr>
                <w:rFonts w:ascii="宋体" w:hAnsi="宋体" w:eastAsia="宋体" w:cs="宋体"/>
                <w:sz w:val="18"/>
                <w:szCs w:val="18"/>
              </w:rPr>
            </w:pPr>
          </w:p>
        </w:tc>
        <w:tc>
          <w:tcPr>
            <w:tcW w:w="1232" w:type="dxa"/>
            <w:noWrap w:val="0"/>
            <w:vAlign w:val="center"/>
          </w:tcPr>
          <w:p w14:paraId="5672B53B">
            <w:pPr>
              <w:widowControl/>
              <w:jc w:val="center"/>
              <w:textAlignment w:val="center"/>
              <w:rPr>
                <w:rFonts w:ascii="宋体" w:hAnsi="宋体" w:eastAsia="宋体" w:cs="宋体"/>
                <w:sz w:val="18"/>
                <w:szCs w:val="18"/>
              </w:rPr>
            </w:pPr>
          </w:p>
        </w:tc>
        <w:tc>
          <w:tcPr>
            <w:tcW w:w="625" w:type="dxa"/>
            <w:noWrap w:val="0"/>
            <w:vAlign w:val="center"/>
          </w:tcPr>
          <w:p w14:paraId="72C65C3F">
            <w:pPr>
              <w:widowControl/>
              <w:jc w:val="center"/>
              <w:textAlignment w:val="center"/>
              <w:rPr>
                <w:rFonts w:ascii="宋体" w:hAnsi="宋体" w:eastAsia="宋体" w:cs="宋体"/>
                <w:sz w:val="18"/>
                <w:szCs w:val="18"/>
              </w:rPr>
            </w:pPr>
          </w:p>
        </w:tc>
        <w:tc>
          <w:tcPr>
            <w:tcW w:w="913" w:type="dxa"/>
            <w:noWrap w:val="0"/>
            <w:vAlign w:val="center"/>
          </w:tcPr>
          <w:p w14:paraId="1A84CD50">
            <w:pPr>
              <w:widowControl/>
              <w:jc w:val="center"/>
              <w:textAlignment w:val="center"/>
              <w:rPr>
                <w:rFonts w:ascii="宋体" w:hAnsi="宋体" w:eastAsia="宋体" w:cs="宋体"/>
                <w:sz w:val="18"/>
                <w:szCs w:val="18"/>
              </w:rPr>
            </w:pPr>
          </w:p>
        </w:tc>
        <w:tc>
          <w:tcPr>
            <w:tcW w:w="800" w:type="dxa"/>
            <w:noWrap w:val="0"/>
            <w:vAlign w:val="center"/>
          </w:tcPr>
          <w:p w14:paraId="67290DFD">
            <w:pPr>
              <w:widowControl/>
              <w:jc w:val="center"/>
              <w:textAlignment w:val="center"/>
              <w:rPr>
                <w:rFonts w:ascii="宋体" w:hAnsi="宋体" w:eastAsia="宋体" w:cs="宋体"/>
                <w:sz w:val="18"/>
                <w:szCs w:val="18"/>
              </w:rPr>
            </w:pPr>
          </w:p>
        </w:tc>
        <w:tc>
          <w:tcPr>
            <w:tcW w:w="417" w:type="dxa"/>
            <w:noWrap w:val="0"/>
            <w:vAlign w:val="top"/>
          </w:tcPr>
          <w:p w14:paraId="48F1BB3E">
            <w:pPr>
              <w:tabs>
                <w:tab w:val="left" w:pos="480"/>
              </w:tabs>
              <w:jc w:val="center"/>
              <w:rPr>
                <w:rFonts w:ascii="宋体" w:hAnsi="宋体" w:eastAsia="宋体" w:cs="宋体"/>
                <w:sz w:val="18"/>
                <w:szCs w:val="18"/>
              </w:rPr>
            </w:pPr>
          </w:p>
        </w:tc>
      </w:tr>
      <w:tr w14:paraId="7DA0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noWrap w:val="0"/>
            <w:vAlign w:val="center"/>
          </w:tcPr>
          <w:p w14:paraId="4039B80D">
            <w:pPr>
              <w:widowControl/>
              <w:jc w:val="center"/>
              <w:textAlignment w:val="center"/>
              <w:rPr>
                <w:rFonts w:ascii="宋体" w:hAnsi="宋体" w:eastAsia="宋体" w:cs="宋体"/>
                <w:sz w:val="18"/>
                <w:szCs w:val="18"/>
              </w:rPr>
            </w:pPr>
          </w:p>
        </w:tc>
        <w:tc>
          <w:tcPr>
            <w:tcW w:w="1430" w:type="dxa"/>
            <w:gridSpan w:val="2"/>
            <w:noWrap w:val="0"/>
            <w:vAlign w:val="center"/>
          </w:tcPr>
          <w:p w14:paraId="0795C1DB">
            <w:pPr>
              <w:widowControl/>
              <w:jc w:val="center"/>
              <w:textAlignment w:val="center"/>
              <w:rPr>
                <w:rFonts w:ascii="宋体" w:hAnsi="宋体" w:eastAsia="宋体" w:cs="宋体"/>
                <w:sz w:val="18"/>
                <w:szCs w:val="18"/>
              </w:rPr>
            </w:pPr>
          </w:p>
        </w:tc>
        <w:tc>
          <w:tcPr>
            <w:tcW w:w="1112" w:type="dxa"/>
            <w:noWrap w:val="0"/>
            <w:vAlign w:val="center"/>
          </w:tcPr>
          <w:p w14:paraId="1FFC9224">
            <w:pPr>
              <w:widowControl/>
              <w:jc w:val="center"/>
              <w:textAlignment w:val="center"/>
              <w:rPr>
                <w:rFonts w:ascii="宋体" w:hAnsi="宋体" w:eastAsia="宋体" w:cs="宋体"/>
                <w:sz w:val="18"/>
                <w:szCs w:val="18"/>
              </w:rPr>
            </w:pPr>
          </w:p>
        </w:tc>
        <w:tc>
          <w:tcPr>
            <w:tcW w:w="750" w:type="dxa"/>
            <w:noWrap w:val="0"/>
            <w:vAlign w:val="center"/>
          </w:tcPr>
          <w:p w14:paraId="106FAD36">
            <w:pPr>
              <w:widowControl/>
              <w:jc w:val="center"/>
              <w:textAlignment w:val="top"/>
              <w:rPr>
                <w:rFonts w:ascii="宋体" w:hAnsi="宋体" w:eastAsia="宋体" w:cs="宋体"/>
                <w:sz w:val="18"/>
                <w:szCs w:val="18"/>
              </w:rPr>
            </w:pPr>
          </w:p>
        </w:tc>
        <w:tc>
          <w:tcPr>
            <w:tcW w:w="1713" w:type="dxa"/>
            <w:noWrap w:val="0"/>
            <w:vAlign w:val="center"/>
          </w:tcPr>
          <w:p w14:paraId="271729CF">
            <w:pPr>
              <w:widowControl/>
              <w:jc w:val="center"/>
              <w:textAlignment w:val="top"/>
              <w:rPr>
                <w:rFonts w:ascii="宋体" w:hAnsi="宋体" w:eastAsia="宋体" w:cs="宋体"/>
                <w:sz w:val="18"/>
                <w:szCs w:val="18"/>
              </w:rPr>
            </w:pPr>
          </w:p>
        </w:tc>
        <w:tc>
          <w:tcPr>
            <w:tcW w:w="1232" w:type="dxa"/>
            <w:noWrap w:val="0"/>
            <w:vAlign w:val="center"/>
          </w:tcPr>
          <w:p w14:paraId="27AD884F">
            <w:pPr>
              <w:widowControl/>
              <w:jc w:val="center"/>
              <w:textAlignment w:val="center"/>
              <w:rPr>
                <w:rFonts w:ascii="宋体" w:hAnsi="宋体" w:eastAsia="宋体" w:cs="宋体"/>
                <w:sz w:val="18"/>
                <w:szCs w:val="18"/>
              </w:rPr>
            </w:pPr>
          </w:p>
        </w:tc>
        <w:tc>
          <w:tcPr>
            <w:tcW w:w="625" w:type="dxa"/>
            <w:noWrap w:val="0"/>
            <w:vAlign w:val="center"/>
          </w:tcPr>
          <w:p w14:paraId="595EE686">
            <w:pPr>
              <w:widowControl/>
              <w:jc w:val="center"/>
              <w:textAlignment w:val="center"/>
              <w:rPr>
                <w:rFonts w:ascii="宋体" w:hAnsi="宋体" w:eastAsia="宋体" w:cs="宋体"/>
                <w:sz w:val="18"/>
                <w:szCs w:val="18"/>
              </w:rPr>
            </w:pPr>
          </w:p>
        </w:tc>
        <w:tc>
          <w:tcPr>
            <w:tcW w:w="913" w:type="dxa"/>
            <w:noWrap w:val="0"/>
            <w:vAlign w:val="center"/>
          </w:tcPr>
          <w:p w14:paraId="02264990">
            <w:pPr>
              <w:widowControl/>
              <w:jc w:val="center"/>
              <w:textAlignment w:val="center"/>
              <w:rPr>
                <w:rFonts w:ascii="宋体" w:hAnsi="宋体" w:eastAsia="宋体" w:cs="宋体"/>
                <w:sz w:val="18"/>
                <w:szCs w:val="18"/>
              </w:rPr>
            </w:pPr>
          </w:p>
        </w:tc>
        <w:tc>
          <w:tcPr>
            <w:tcW w:w="800" w:type="dxa"/>
            <w:noWrap w:val="0"/>
            <w:vAlign w:val="center"/>
          </w:tcPr>
          <w:p w14:paraId="45B197EC">
            <w:pPr>
              <w:widowControl/>
              <w:jc w:val="center"/>
              <w:textAlignment w:val="center"/>
              <w:rPr>
                <w:rFonts w:ascii="宋体" w:hAnsi="宋体" w:eastAsia="宋体" w:cs="宋体"/>
                <w:sz w:val="18"/>
                <w:szCs w:val="18"/>
              </w:rPr>
            </w:pPr>
          </w:p>
        </w:tc>
        <w:tc>
          <w:tcPr>
            <w:tcW w:w="417" w:type="dxa"/>
            <w:noWrap w:val="0"/>
            <w:vAlign w:val="top"/>
          </w:tcPr>
          <w:p w14:paraId="76FB87F6">
            <w:pPr>
              <w:tabs>
                <w:tab w:val="left" w:pos="480"/>
              </w:tabs>
              <w:jc w:val="center"/>
              <w:rPr>
                <w:rFonts w:ascii="宋体" w:hAnsi="宋体" w:eastAsia="宋体" w:cs="宋体"/>
                <w:sz w:val="18"/>
                <w:szCs w:val="18"/>
              </w:rPr>
            </w:pPr>
          </w:p>
        </w:tc>
      </w:tr>
      <w:tr w14:paraId="5ED7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417" w:type="dxa"/>
            <w:gridSpan w:val="11"/>
            <w:noWrap w:val="0"/>
            <w:vAlign w:val="center"/>
          </w:tcPr>
          <w:p w14:paraId="07636796">
            <w:pPr>
              <w:tabs>
                <w:tab w:val="left" w:pos="480"/>
              </w:tabs>
              <w:rPr>
                <w:rFonts w:ascii="宋体" w:hAnsi="宋体" w:eastAsia="宋体" w:cs="宋体"/>
                <w:sz w:val="18"/>
                <w:szCs w:val="18"/>
              </w:rPr>
            </w:pPr>
            <w:r>
              <w:rPr>
                <w:rFonts w:hint="eastAsia" w:ascii="宋体" w:hAnsi="宋体" w:eastAsia="宋体" w:cs="宋体"/>
                <w:sz w:val="18"/>
                <w:szCs w:val="18"/>
              </w:rPr>
              <w:t>合计人民币（大写）： 元整</w:t>
            </w:r>
          </w:p>
          <w:p w14:paraId="7FB00737">
            <w:pPr>
              <w:tabs>
                <w:tab w:val="left" w:pos="480"/>
              </w:tabs>
              <w:rPr>
                <w:rFonts w:ascii="宋体" w:hAnsi="宋体" w:eastAsia="宋体" w:cs="宋体"/>
                <w:sz w:val="18"/>
                <w:szCs w:val="18"/>
              </w:rPr>
            </w:pPr>
            <w:r>
              <w:rPr>
                <w:rFonts w:hint="eastAsia" w:ascii="宋体" w:hAnsi="宋体" w:eastAsia="宋体" w:cs="宋体"/>
                <w:sz w:val="18"/>
                <w:szCs w:val="18"/>
              </w:rPr>
              <w:t>合计：</w:t>
            </w:r>
            <w:r>
              <w:rPr>
                <w:rFonts w:ascii="宋体" w:hAnsi="宋体" w:eastAsia="宋体" w:cs="宋体"/>
                <w:sz w:val="18"/>
                <w:szCs w:val="18"/>
              </w:rPr>
              <w:t xml:space="preserve"> </w:t>
            </w:r>
            <w:r>
              <w:rPr>
                <w:rFonts w:hint="eastAsia" w:ascii="宋体" w:hAnsi="宋体" w:eastAsia="宋体" w:cs="宋体"/>
                <w:sz w:val="18"/>
                <w:szCs w:val="18"/>
              </w:rPr>
              <w:t>元</w:t>
            </w:r>
          </w:p>
        </w:tc>
      </w:tr>
      <w:tr w14:paraId="4B428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noWrap w:val="0"/>
            <w:vAlign w:val="center"/>
          </w:tcPr>
          <w:p w14:paraId="59A2EBEE">
            <w:pPr>
              <w:tabs>
                <w:tab w:val="left" w:pos="480"/>
              </w:tabs>
              <w:jc w:val="center"/>
              <w:rPr>
                <w:rFonts w:ascii="宋体" w:hAnsi="宋体" w:eastAsia="宋体" w:cs="宋体"/>
                <w:sz w:val="18"/>
                <w:szCs w:val="18"/>
              </w:rPr>
            </w:pPr>
            <w:r>
              <w:rPr>
                <w:rFonts w:hint="eastAsia" w:ascii="宋体" w:hAnsi="宋体" w:eastAsia="宋体" w:cs="宋体"/>
                <w:sz w:val="18"/>
                <w:szCs w:val="18"/>
              </w:rPr>
              <w:t>说明</w:t>
            </w:r>
          </w:p>
        </w:tc>
        <w:tc>
          <w:tcPr>
            <w:tcW w:w="1120" w:type="dxa"/>
            <w:noWrap w:val="0"/>
            <w:vAlign w:val="center"/>
          </w:tcPr>
          <w:p w14:paraId="00BBD9B1">
            <w:pPr>
              <w:tabs>
                <w:tab w:val="left" w:pos="480"/>
              </w:tabs>
              <w:jc w:val="center"/>
              <w:rPr>
                <w:rFonts w:ascii="宋体" w:hAnsi="宋体" w:eastAsia="宋体" w:cs="宋体"/>
                <w:sz w:val="18"/>
                <w:szCs w:val="18"/>
              </w:rPr>
            </w:pPr>
          </w:p>
        </w:tc>
        <w:tc>
          <w:tcPr>
            <w:tcW w:w="7872" w:type="dxa"/>
            <w:gridSpan w:val="9"/>
            <w:noWrap w:val="0"/>
            <w:vAlign w:val="center"/>
          </w:tcPr>
          <w:p w14:paraId="64C53808">
            <w:pPr>
              <w:tabs>
                <w:tab w:val="left" w:pos="480"/>
              </w:tabs>
              <w:jc w:val="center"/>
              <w:rPr>
                <w:rFonts w:ascii="宋体" w:hAnsi="宋体" w:eastAsia="宋体" w:cs="宋体"/>
                <w:sz w:val="18"/>
                <w:szCs w:val="18"/>
              </w:rPr>
            </w:pPr>
            <w:r>
              <w:rPr>
                <w:rFonts w:hint="eastAsia" w:ascii="宋体" w:hAnsi="宋体" w:eastAsia="宋体" w:cs="宋体"/>
                <w:sz w:val="18"/>
                <w:szCs w:val="18"/>
              </w:rPr>
              <w:t>含安装、调试、检验、培训及技术服务等</w:t>
            </w:r>
          </w:p>
        </w:tc>
      </w:tr>
    </w:tbl>
    <w:p w14:paraId="084D8334">
      <w:pPr>
        <w:tabs>
          <w:tab w:val="left" w:pos="480"/>
        </w:tabs>
        <w:spacing w:line="360" w:lineRule="auto"/>
        <w:rPr>
          <w:rFonts w:ascii="宋体" w:hAnsi="宋体" w:eastAsia="宋体" w:cs="宋体"/>
          <w:b/>
          <w:bCs/>
          <w:sz w:val="24"/>
          <w:lang w:val="zh-CN"/>
        </w:rPr>
      </w:pPr>
      <w:r>
        <w:rPr>
          <w:rFonts w:hint="eastAsia" w:ascii="宋体" w:hAnsi="宋体" w:eastAsia="宋体" w:cs="宋体"/>
          <w:b/>
          <w:bCs/>
          <w:sz w:val="24"/>
          <w:lang w:val="zh-CN"/>
        </w:rPr>
        <w:t>二、合同价款</w:t>
      </w:r>
    </w:p>
    <w:p w14:paraId="4A436584">
      <w:pPr>
        <w:tabs>
          <w:tab w:val="left" w:pos="480"/>
        </w:tabs>
        <w:spacing w:line="360" w:lineRule="auto"/>
        <w:ind w:left="-199" w:leftChars="-95" w:firstLine="720" w:firstLineChars="300"/>
        <w:rPr>
          <w:rFonts w:ascii="宋体" w:hAnsi="宋体" w:eastAsia="宋体" w:cs="宋体"/>
          <w:sz w:val="24"/>
        </w:rPr>
      </w:pPr>
      <w:r>
        <w:rPr>
          <w:rFonts w:hint="eastAsia" w:ascii="宋体" w:hAnsi="宋体" w:eastAsia="宋体" w:cs="宋体"/>
          <w:sz w:val="24"/>
        </w:rPr>
        <w:t>（一）合同总价款为人民币（大写）</w:t>
      </w:r>
      <w:r>
        <w:rPr>
          <w:rFonts w:hint="eastAsia" w:ascii="宋体" w:hAnsi="宋体" w:eastAsia="宋体" w:cs="宋体"/>
          <w:sz w:val="24"/>
          <w:u w:val="single"/>
        </w:rPr>
        <w:t xml:space="preserve"> </w:t>
      </w:r>
      <w:r>
        <w:rPr>
          <w:rFonts w:ascii="宋体" w:hAnsi="宋体" w:eastAsia="宋体" w:cs="宋体"/>
          <w:sz w:val="24"/>
          <w:u w:val="single"/>
        </w:rPr>
        <w:t xml:space="preserve">  </w:t>
      </w:r>
      <w:r>
        <w:rPr>
          <w:rFonts w:hint="eastAsia" w:ascii="宋体" w:hAnsi="宋体" w:eastAsia="宋体" w:cs="宋体"/>
          <w:sz w:val="24"/>
          <w:u w:val="single"/>
        </w:rPr>
        <w:t>元整</w:t>
      </w:r>
      <w:r>
        <w:rPr>
          <w:rFonts w:hint="eastAsia" w:ascii="宋体" w:hAnsi="宋体" w:eastAsia="宋体" w:cs="宋体"/>
          <w:sz w:val="24"/>
        </w:rPr>
        <w:t>（¥</w:t>
      </w:r>
      <w:r>
        <w:rPr>
          <w:rFonts w:ascii="宋体" w:hAnsi="宋体" w:eastAsia="宋体" w:cs="宋体"/>
          <w:sz w:val="24"/>
        </w:rPr>
        <w:t xml:space="preserve">  </w:t>
      </w:r>
      <w:r>
        <w:rPr>
          <w:rFonts w:hint="eastAsia" w:ascii="宋体" w:hAnsi="宋体" w:eastAsia="宋体" w:cs="宋体"/>
          <w:sz w:val="24"/>
        </w:rPr>
        <w:t>元）。</w:t>
      </w:r>
    </w:p>
    <w:p w14:paraId="3CE7AC68">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合同总价包括：税费、货物费、运输费（含保险费）、装卸、安装调试费、检测验收、培训、技术服务及其它乙方履行合同义务所需的全部费用。本合同执行期间合同总价不变，甲方无需向乙方另行支付费用。</w:t>
      </w:r>
    </w:p>
    <w:p w14:paraId="590C8EF3">
      <w:pPr>
        <w:tabs>
          <w:tab w:val="left" w:pos="480"/>
        </w:tabs>
        <w:spacing w:line="360" w:lineRule="auto"/>
        <w:rPr>
          <w:rFonts w:ascii="宋体" w:hAnsi="宋体" w:eastAsia="宋体" w:cs="宋体"/>
          <w:b/>
          <w:bCs/>
          <w:sz w:val="24"/>
        </w:rPr>
      </w:pPr>
      <w:r>
        <w:rPr>
          <w:rFonts w:hint="eastAsia" w:ascii="宋体" w:hAnsi="宋体" w:eastAsia="宋体" w:cs="宋体"/>
          <w:b/>
          <w:bCs/>
          <w:sz w:val="24"/>
        </w:rPr>
        <w:t>三、款项结算</w:t>
      </w:r>
    </w:p>
    <w:p w14:paraId="0E1CC301">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（一）设备到货安装试运行稳定且验收合格后，乙方应按合同总价款的 5%向甲方支付履约金或提供开户银行按照合同总价5%开具的履约保函，收到履约保证金或履约保函后甲方支付合同价款 100%，售后服务期满后无任何质量问题履约保证金一次性无息退还或履约保函自动解除。</w:t>
      </w:r>
    </w:p>
    <w:p w14:paraId="349EF6CF">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（二）支付方式：银行转帐。乙方保证其提供的账号准确无误，若在合同履行期间发生变更，乙方需及时书面通知甲方，否则由此产生的后果由乙方承担。</w:t>
      </w:r>
    </w:p>
    <w:p w14:paraId="2F184CC5">
      <w:pPr>
        <w:spacing w:line="360" w:lineRule="auto"/>
        <w:ind w:firstLine="480" w:firstLineChars="200"/>
        <w:rPr>
          <w:rFonts w:ascii="宋体" w:hAnsi="宋体" w:eastAsia="宋体" w:cs="宋体"/>
          <w:sz w:val="24"/>
        </w:rPr>
      </w:pPr>
      <w:r>
        <w:rPr>
          <w:rFonts w:hint="eastAsia" w:ascii="宋体" w:hAnsi="宋体" w:eastAsia="宋体" w:cs="宋体"/>
          <w:sz w:val="24"/>
        </w:rPr>
        <w:t>（三）结算方式：乙方持验收合格单，全额合规发票（按合同总价值开甲方），中标通知书、供货合同，与甲方结算。若乙方未在甲方付款前提供等额合规发票的，甲方有权拒付合同款项，且不承担任何责任。</w:t>
      </w:r>
    </w:p>
    <w:p w14:paraId="30C73F8E">
      <w:pPr>
        <w:spacing w:line="360" w:lineRule="auto"/>
        <w:rPr>
          <w:rFonts w:ascii="宋体" w:hAnsi="宋体" w:eastAsia="宋体" w:cs="宋体"/>
          <w:b/>
          <w:bCs/>
          <w:sz w:val="24"/>
        </w:rPr>
      </w:pPr>
      <w:r>
        <w:rPr>
          <w:rFonts w:hint="eastAsia" w:ascii="宋体" w:hAnsi="宋体" w:eastAsia="宋体" w:cs="宋体"/>
          <w:b/>
          <w:bCs/>
          <w:sz w:val="24"/>
        </w:rPr>
        <w:t>四、交货条件</w:t>
      </w:r>
    </w:p>
    <w:p w14:paraId="74617F16">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（一）交货地点：</w:t>
      </w:r>
      <w:r>
        <w:rPr>
          <w:rFonts w:hint="eastAsia" w:ascii="宋体" w:hAnsi="宋体" w:eastAsia="宋体" w:cs="宋体"/>
          <w:sz w:val="24"/>
          <w:lang w:eastAsia="zh-Hans"/>
        </w:rPr>
        <w:t>陕西省交通</w:t>
      </w:r>
      <w:r>
        <w:rPr>
          <w:rFonts w:hint="eastAsia" w:ascii="宋体" w:hAnsi="宋体" w:eastAsia="宋体" w:cs="宋体"/>
          <w:sz w:val="24"/>
        </w:rPr>
        <w:t>医院指定地点。</w:t>
      </w:r>
    </w:p>
    <w:p w14:paraId="0D792E38">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（二）交货期：</w:t>
      </w:r>
    </w:p>
    <w:p w14:paraId="3CAE4BE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1、交货期：合同签订后</w:t>
      </w:r>
      <w:r>
        <w:rPr>
          <w:rFonts w:hint="eastAsia" w:ascii="宋体" w:hAnsi="宋体" w:eastAsia="宋体" w:cs="宋体"/>
          <w:sz w:val="24"/>
          <w:u w:val="single"/>
          <w:lang w:eastAsia="zh-Hans"/>
        </w:rPr>
        <w:t xml:space="preserve"> </w:t>
      </w:r>
      <w:r>
        <w:rPr>
          <w:rFonts w:ascii="宋体" w:hAnsi="宋体" w:eastAsia="宋体" w:cs="宋体"/>
          <w:sz w:val="24"/>
          <w:u w:val="single"/>
          <w:lang w:eastAsia="zh-Hans"/>
        </w:rPr>
        <w:t xml:space="preserve"> </w:t>
      </w:r>
      <w:r>
        <w:rPr>
          <w:rFonts w:hint="eastAsia" w:ascii="宋体" w:hAnsi="宋体" w:eastAsia="宋体" w:cs="宋体"/>
          <w:sz w:val="24"/>
          <w:u w:val="single"/>
          <w:lang w:eastAsia="zh-Hans"/>
        </w:rPr>
        <w:t xml:space="preserve"> </w:t>
      </w:r>
      <w:r>
        <w:rPr>
          <w:rFonts w:hint="eastAsia" w:ascii="宋体" w:hAnsi="宋体" w:eastAsia="宋体" w:cs="宋体"/>
          <w:sz w:val="24"/>
          <w:lang w:eastAsia="zh-Hans"/>
        </w:rPr>
        <w:t>个日历日</w:t>
      </w:r>
      <w:r>
        <w:rPr>
          <w:rFonts w:hint="eastAsia" w:ascii="宋体" w:hAnsi="宋体" w:eastAsia="宋体" w:cs="宋体"/>
          <w:sz w:val="24"/>
        </w:rPr>
        <w:t>内交付甲方并经甲方验收合格。</w:t>
      </w:r>
    </w:p>
    <w:p w14:paraId="6764DB77">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2、合同签订后</w:t>
      </w:r>
      <w:r>
        <w:rPr>
          <w:rFonts w:hint="eastAsia" w:ascii="宋体" w:hAnsi="宋体" w:eastAsia="宋体" w:cs="宋体"/>
          <w:sz w:val="24"/>
          <w:u w:val="single"/>
        </w:rPr>
        <w:t xml:space="preserve"> </w:t>
      </w:r>
      <w:r>
        <w:rPr>
          <w:rFonts w:ascii="宋体" w:hAnsi="宋体" w:eastAsia="宋体" w:cs="宋体"/>
          <w:sz w:val="24"/>
          <w:u w:val="single"/>
        </w:rPr>
        <w:t>5</w:t>
      </w:r>
      <w:r>
        <w:rPr>
          <w:rFonts w:hint="eastAsia" w:ascii="宋体" w:hAnsi="宋体" w:eastAsia="宋体" w:cs="宋体"/>
          <w:sz w:val="24"/>
          <w:u w:val="single"/>
        </w:rPr>
        <w:t xml:space="preserve"> </w:t>
      </w:r>
      <w:r>
        <w:rPr>
          <w:rFonts w:hint="eastAsia" w:ascii="宋体" w:hAnsi="宋体" w:eastAsia="宋体" w:cs="宋体"/>
          <w:sz w:val="24"/>
        </w:rPr>
        <w:t>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6884B7F7">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自检合格后申请甲方</w:t>
      </w:r>
      <w:r>
        <w:rPr>
          <w:rFonts w:ascii="宋体" w:hAnsi="宋体" w:eastAsia="宋体" w:cs="宋体"/>
          <w:sz w:val="24"/>
        </w:rPr>
        <w:t>验收</w:t>
      </w:r>
      <w:r>
        <w:rPr>
          <w:rFonts w:hint="eastAsia" w:ascii="宋体" w:hAnsi="宋体" w:eastAsia="宋体" w:cs="宋体"/>
          <w:sz w:val="24"/>
        </w:rPr>
        <w:t>。</w:t>
      </w:r>
    </w:p>
    <w:p w14:paraId="334B5E2D">
      <w:pPr>
        <w:tabs>
          <w:tab w:val="left" w:pos="480"/>
        </w:tabs>
        <w:spacing w:line="360" w:lineRule="auto"/>
        <w:rPr>
          <w:rFonts w:ascii="宋体" w:hAnsi="宋体" w:eastAsia="宋体" w:cs="宋体"/>
          <w:b/>
          <w:bCs/>
          <w:sz w:val="24"/>
        </w:rPr>
      </w:pPr>
      <w:r>
        <w:rPr>
          <w:rFonts w:hint="eastAsia" w:ascii="宋体" w:hAnsi="宋体" w:eastAsia="宋体" w:cs="宋体"/>
          <w:b/>
          <w:bCs/>
          <w:sz w:val="24"/>
        </w:rPr>
        <w:t>五、运输</w:t>
      </w:r>
    </w:p>
    <w:p w14:paraId="19D1D48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（一）运输由乙方负责，运杂费已包含在合同总价内，包括从货物供应地点至交货地点所含的运输费、装卸费、仓储费、保险费等。</w:t>
      </w:r>
    </w:p>
    <w:p w14:paraId="6DD585C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（二）运输方式由乙方自行选择，但必须保证按期交货。</w:t>
      </w:r>
    </w:p>
    <w:p w14:paraId="487E6350">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（三）货物验收合格前产生的一切</w:t>
      </w:r>
      <w:r>
        <w:rPr>
          <w:rFonts w:hint="eastAsia" w:ascii="宋体" w:hAnsi="宋体" w:eastAsia="宋体" w:cs="宋体"/>
          <w:sz w:val="24"/>
          <w:lang w:eastAsia="zh-Hans"/>
        </w:rPr>
        <w:t>毁损、灭失的</w:t>
      </w:r>
      <w:r>
        <w:rPr>
          <w:rFonts w:hint="eastAsia" w:ascii="宋体" w:hAnsi="宋体" w:eastAsia="宋体" w:cs="宋体"/>
          <w:sz w:val="24"/>
        </w:rPr>
        <w:t>风险及质量问题均由乙方承担。</w:t>
      </w:r>
    </w:p>
    <w:p w14:paraId="1FA54E29">
      <w:pPr>
        <w:tabs>
          <w:tab w:val="left" w:pos="480"/>
        </w:tabs>
        <w:spacing w:line="360" w:lineRule="auto"/>
        <w:rPr>
          <w:rFonts w:ascii="宋体" w:hAnsi="宋体" w:eastAsia="宋体" w:cs="宋体"/>
          <w:b/>
          <w:bCs/>
          <w:sz w:val="24"/>
        </w:rPr>
      </w:pPr>
      <w:r>
        <w:rPr>
          <w:rFonts w:hint="eastAsia" w:ascii="宋体" w:hAnsi="宋体" w:eastAsia="宋体" w:cs="宋体"/>
          <w:b/>
          <w:bCs/>
          <w:sz w:val="24"/>
        </w:rPr>
        <w:t>六、质量保证</w:t>
      </w:r>
    </w:p>
    <w:p w14:paraId="48DD7EED">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乙方所供货物必须执行下列条款：</w:t>
      </w:r>
    </w:p>
    <w:p w14:paraId="46A397A9">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（一）保证技术指标先进、质量性能可靠、进货渠道正常，配置合理，全面满足招标文件要求。</w:t>
      </w:r>
    </w:p>
    <w:p w14:paraId="7D0375D0">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（二）符合国家有关规范要求，确保达到最佳运行状态，对于由于产品设计、工艺或材料的缺陷而产生的质量问题负责。</w:t>
      </w:r>
    </w:p>
    <w:p w14:paraId="2B8DC58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（三）具有良好的外观，适合安装场所的使用。</w:t>
      </w:r>
    </w:p>
    <w:p w14:paraId="3C9C8AB0">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（四）自安装、调试正常运行并验收合格之日起：</w:t>
      </w:r>
    </w:p>
    <w:p w14:paraId="36FC890E">
      <w:pPr>
        <w:tabs>
          <w:tab w:val="left" w:pos="480"/>
        </w:tabs>
        <w:spacing w:line="360" w:lineRule="auto"/>
        <w:ind w:firstLine="480" w:firstLineChars="200"/>
        <w:jc w:val="left"/>
        <w:rPr>
          <w:rFonts w:ascii="宋体" w:hAnsi="宋体" w:eastAsia="宋体" w:cs="宋体"/>
          <w:sz w:val="24"/>
        </w:rPr>
      </w:pPr>
      <w:r>
        <w:rPr>
          <w:rFonts w:hint="eastAsia" w:ascii="宋体" w:hAnsi="宋体" w:eastAsia="宋体" w:cs="宋体"/>
          <w:sz w:val="24"/>
        </w:rPr>
        <w:t>1、售后服务期：提供原厂整机免费质保</w:t>
      </w:r>
      <w:r>
        <w:rPr>
          <w:rFonts w:hint="eastAsia" w:ascii="宋体" w:hAnsi="宋体" w:eastAsia="宋体" w:cs="宋体"/>
          <w:sz w:val="24"/>
          <w:u w:val="single"/>
        </w:rPr>
        <w:t xml:space="preserve"> 3 </w:t>
      </w:r>
      <w:r>
        <w:rPr>
          <w:rFonts w:hint="eastAsia" w:ascii="宋体" w:hAnsi="宋体" w:eastAsia="宋体" w:cs="宋体"/>
          <w:sz w:val="24"/>
        </w:rPr>
        <w:t>年，终身维护。售后服务期内，同一主要部件出现质量问题经过两次维修后仍无法正常使用的，可以更换同型号、同规格的全新产品，乙方在</w:t>
      </w:r>
      <w:r>
        <w:rPr>
          <w:rFonts w:hint="eastAsia" w:ascii="宋体" w:hAnsi="宋体" w:eastAsia="宋体" w:cs="宋体"/>
          <w:sz w:val="24"/>
          <w:u w:val="single"/>
        </w:rPr>
        <w:t xml:space="preserve"> </w:t>
      </w:r>
      <w:r>
        <w:rPr>
          <w:rFonts w:ascii="宋体" w:hAnsi="宋体" w:eastAsia="宋体" w:cs="宋体"/>
          <w:sz w:val="24"/>
          <w:u w:val="single"/>
        </w:rPr>
        <w:t>2</w:t>
      </w:r>
      <w:r>
        <w:rPr>
          <w:rFonts w:hint="eastAsia" w:ascii="宋体" w:hAnsi="宋体" w:eastAsia="宋体" w:cs="宋体"/>
          <w:sz w:val="24"/>
          <w:u w:val="single"/>
        </w:rPr>
        <w:t xml:space="preserve"> </w:t>
      </w:r>
      <w:r>
        <w:rPr>
          <w:rFonts w:hint="eastAsia" w:ascii="宋体" w:hAnsi="宋体" w:eastAsia="宋体" w:cs="宋体"/>
          <w:sz w:val="24"/>
        </w:rPr>
        <w:t>小时内提出解决问题的办法，如需到现场进行维修，乙方在</w:t>
      </w:r>
      <w:r>
        <w:rPr>
          <w:rFonts w:hint="eastAsia" w:ascii="宋体" w:hAnsi="宋体" w:eastAsia="宋体" w:cs="宋体"/>
          <w:sz w:val="24"/>
          <w:u w:val="single"/>
        </w:rPr>
        <w:t xml:space="preserve"> </w:t>
      </w:r>
      <w:r>
        <w:rPr>
          <w:rFonts w:ascii="宋体" w:hAnsi="宋体" w:eastAsia="宋体" w:cs="宋体"/>
          <w:sz w:val="24"/>
          <w:u w:val="single"/>
        </w:rPr>
        <w:t>2</w:t>
      </w:r>
      <w:r>
        <w:rPr>
          <w:rFonts w:hint="eastAsia" w:ascii="宋体" w:hAnsi="宋体" w:eastAsia="宋体" w:cs="宋体"/>
          <w:sz w:val="24"/>
          <w:u w:val="single"/>
        </w:rPr>
        <w:t xml:space="preserve"> </w:t>
      </w:r>
      <w:r>
        <w:rPr>
          <w:rFonts w:hint="eastAsia" w:ascii="宋体" w:hAnsi="宋体" w:eastAsia="宋体" w:cs="宋体"/>
          <w:sz w:val="24"/>
        </w:rPr>
        <w:t>小时内安排生产厂家技术人员到设备现场进行维修；乙方提供保修期内每年不少于</w:t>
      </w:r>
      <w:r>
        <w:rPr>
          <w:rFonts w:hint="eastAsia" w:ascii="宋体" w:hAnsi="宋体" w:eastAsia="宋体" w:cs="宋体"/>
          <w:sz w:val="24"/>
          <w:u w:val="single"/>
        </w:rPr>
        <w:t xml:space="preserve"> </w:t>
      </w:r>
      <w:r>
        <w:rPr>
          <w:rFonts w:ascii="宋体" w:hAnsi="宋体" w:eastAsia="宋体" w:cs="宋体"/>
          <w:sz w:val="24"/>
          <w:u w:val="single"/>
        </w:rPr>
        <w:t>2</w:t>
      </w:r>
      <w:r>
        <w:rPr>
          <w:rFonts w:hint="eastAsia" w:ascii="宋体" w:hAnsi="宋体" w:eastAsia="宋体" w:cs="宋体"/>
          <w:sz w:val="24"/>
          <w:u w:val="single"/>
        </w:rPr>
        <w:t xml:space="preserve"> </w:t>
      </w:r>
      <w:r>
        <w:rPr>
          <w:rFonts w:hint="eastAsia" w:ascii="宋体" w:hAnsi="宋体" w:eastAsia="宋体" w:cs="宋体"/>
          <w:sz w:val="24"/>
        </w:rPr>
        <w:t>次维护保养；乙方保证年开机率≥95％（一年按365天计算）；如有问题在</w:t>
      </w:r>
      <w:r>
        <w:rPr>
          <w:rFonts w:hint="eastAsia" w:ascii="宋体" w:hAnsi="宋体" w:eastAsia="宋体" w:cs="宋体"/>
          <w:sz w:val="24"/>
          <w:u w:val="single"/>
        </w:rPr>
        <w:t xml:space="preserve"> </w:t>
      </w:r>
      <w:r>
        <w:rPr>
          <w:rFonts w:ascii="宋体" w:hAnsi="宋体" w:eastAsia="宋体" w:cs="宋体"/>
          <w:sz w:val="24"/>
          <w:u w:val="single"/>
        </w:rPr>
        <w:t>48</w:t>
      </w:r>
      <w:r>
        <w:rPr>
          <w:rFonts w:hint="eastAsia" w:ascii="宋体" w:hAnsi="宋体" w:eastAsia="宋体" w:cs="宋体"/>
          <w:sz w:val="24"/>
          <w:u w:val="single"/>
        </w:rPr>
        <w:t xml:space="preserve"> </w:t>
      </w:r>
      <w:r>
        <w:rPr>
          <w:rFonts w:hint="eastAsia" w:ascii="宋体" w:hAnsi="宋体" w:eastAsia="宋体" w:cs="宋体"/>
          <w:sz w:val="24"/>
        </w:rPr>
        <w:t>小时内修复（每超一天保修延长</w:t>
      </w:r>
      <w:r>
        <w:rPr>
          <w:rFonts w:hint="eastAsia" w:ascii="宋体" w:hAnsi="宋体" w:eastAsia="宋体" w:cs="宋体"/>
          <w:sz w:val="24"/>
          <w:u w:val="single"/>
        </w:rPr>
        <w:t xml:space="preserve"> </w:t>
      </w:r>
      <w:r>
        <w:rPr>
          <w:rFonts w:ascii="宋体" w:hAnsi="宋体" w:eastAsia="宋体" w:cs="宋体"/>
          <w:sz w:val="24"/>
          <w:u w:val="single"/>
        </w:rPr>
        <w:t>5</w:t>
      </w:r>
      <w:r>
        <w:rPr>
          <w:rFonts w:hint="eastAsia" w:ascii="宋体" w:hAnsi="宋体" w:eastAsia="宋体" w:cs="宋体"/>
          <w:sz w:val="24"/>
          <w:u w:val="single"/>
        </w:rPr>
        <w:t xml:space="preserve"> </w:t>
      </w:r>
      <w:r>
        <w:rPr>
          <w:rFonts w:hint="eastAsia" w:ascii="宋体" w:hAnsi="宋体" w:eastAsia="宋体" w:cs="宋体"/>
          <w:sz w:val="24"/>
        </w:rPr>
        <w:t>天），对问题较大</w:t>
      </w:r>
      <w:r>
        <w:rPr>
          <w:rFonts w:hint="eastAsia" w:ascii="宋体" w:hAnsi="宋体" w:eastAsia="宋体" w:cs="宋体"/>
          <w:sz w:val="24"/>
          <w:u w:val="single"/>
        </w:rPr>
        <w:t xml:space="preserve"> </w:t>
      </w:r>
      <w:r>
        <w:rPr>
          <w:rFonts w:ascii="宋体" w:hAnsi="宋体" w:eastAsia="宋体" w:cs="宋体"/>
          <w:sz w:val="24"/>
          <w:u w:val="single"/>
        </w:rPr>
        <w:t>72</w:t>
      </w:r>
      <w:r>
        <w:rPr>
          <w:rFonts w:hint="eastAsia" w:ascii="宋体" w:hAnsi="宋体" w:eastAsia="宋体" w:cs="宋体"/>
          <w:sz w:val="24"/>
          <w:u w:val="single"/>
        </w:rPr>
        <w:t xml:space="preserve"> </w:t>
      </w:r>
      <w:r>
        <w:rPr>
          <w:rFonts w:hint="eastAsia" w:ascii="宋体" w:hAnsi="宋体" w:eastAsia="宋体" w:cs="宋体"/>
          <w:sz w:val="24"/>
        </w:rPr>
        <w:t>小时内暂不能解决的，为不影响甲方正常工作，乙方在</w:t>
      </w:r>
      <w:r>
        <w:rPr>
          <w:rFonts w:hint="eastAsia" w:ascii="宋体" w:hAnsi="宋体" w:eastAsia="宋体" w:cs="宋体"/>
          <w:sz w:val="24"/>
          <w:u w:val="single"/>
        </w:rPr>
        <w:t xml:space="preserve"> </w:t>
      </w:r>
      <w:r>
        <w:rPr>
          <w:rFonts w:ascii="宋体" w:hAnsi="宋体" w:eastAsia="宋体" w:cs="宋体"/>
          <w:sz w:val="24"/>
          <w:u w:val="single"/>
        </w:rPr>
        <w:t>2</w:t>
      </w:r>
      <w:r>
        <w:rPr>
          <w:rFonts w:hint="eastAsia" w:ascii="宋体" w:hAnsi="宋体" w:eastAsia="宋体" w:cs="宋体"/>
          <w:sz w:val="24"/>
          <w:u w:val="single"/>
        </w:rPr>
        <w:t xml:space="preserve"> </w:t>
      </w:r>
      <w:r>
        <w:rPr>
          <w:rFonts w:hint="eastAsia" w:ascii="宋体" w:hAnsi="宋体" w:eastAsia="宋体" w:cs="宋体"/>
          <w:sz w:val="24"/>
        </w:rPr>
        <w:t>日内免费提供替代产品，并确保正常运行；若乙方未按照上述约定期限内及时解决问题,造成甲方损失扩大的,乙方应就损失扩大部分承担赔偿责任。</w:t>
      </w:r>
    </w:p>
    <w:p w14:paraId="436769C8">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 xml:space="preserve">2、30天内，如出现质量问题，甲方可以选择换货或退货。 </w:t>
      </w:r>
    </w:p>
    <w:p w14:paraId="45008AAE">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3、7天内，如出现质量问题，甲方可选择换货。</w:t>
      </w:r>
    </w:p>
    <w:p w14:paraId="2BA3056E">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（五）保证设备后期可与甲方各类信息化网络系统免费无缝连接。乙方在设备安装调试完成后协助甲方完成设备之间信息化系统的连接和建立，承诺在甲方使用产品期间免费对该产品进行系统升级和维护。</w:t>
      </w:r>
    </w:p>
    <w:p w14:paraId="33F9AA16">
      <w:pPr>
        <w:spacing w:line="360" w:lineRule="auto"/>
        <w:rPr>
          <w:rFonts w:ascii="宋体" w:hAnsi="宋体" w:eastAsia="宋体" w:cs="宋体"/>
          <w:b/>
          <w:bCs/>
          <w:sz w:val="24"/>
        </w:rPr>
      </w:pPr>
      <w:r>
        <w:rPr>
          <w:rFonts w:hint="eastAsia" w:ascii="宋体" w:hAnsi="宋体" w:eastAsia="宋体" w:cs="宋体"/>
          <w:b/>
          <w:bCs/>
          <w:sz w:val="24"/>
        </w:rPr>
        <w:t>七、售后服务</w:t>
      </w:r>
    </w:p>
    <w:p w14:paraId="38E5C0F5">
      <w:pPr>
        <w:spacing w:line="360" w:lineRule="auto"/>
        <w:ind w:firstLine="480" w:firstLineChars="200"/>
        <w:rPr>
          <w:rFonts w:ascii="宋体" w:hAnsi="宋体" w:eastAsia="宋体" w:cs="宋体"/>
          <w:sz w:val="24"/>
        </w:rPr>
      </w:pPr>
      <w:r>
        <w:rPr>
          <w:rFonts w:hint="eastAsia" w:ascii="宋体" w:hAnsi="宋体" w:eastAsia="宋体" w:cs="宋体"/>
          <w:sz w:val="24"/>
        </w:rPr>
        <w:t>乙方为所供货物提供以下售后服务：</w:t>
      </w:r>
    </w:p>
    <w:p w14:paraId="44A00FF9">
      <w:pPr>
        <w:spacing w:line="360" w:lineRule="auto"/>
        <w:rPr>
          <w:rFonts w:ascii="宋体" w:hAnsi="宋体" w:eastAsia="宋体" w:cs="宋体"/>
          <w:sz w:val="24"/>
        </w:rPr>
      </w:pPr>
      <w:r>
        <w:rPr>
          <w:rFonts w:hint="eastAsia" w:ascii="宋体" w:hAnsi="宋体" w:eastAsia="宋体" w:cs="宋体"/>
          <w:sz w:val="24"/>
        </w:rPr>
        <w:t>（一）售后服务期内：</w:t>
      </w:r>
    </w:p>
    <w:p w14:paraId="7227791F">
      <w:pPr>
        <w:spacing w:line="360" w:lineRule="auto"/>
        <w:ind w:firstLine="480" w:firstLineChars="200"/>
        <w:rPr>
          <w:rFonts w:ascii="宋体" w:hAnsi="宋体" w:eastAsia="宋体" w:cs="宋体"/>
          <w:sz w:val="24"/>
        </w:rPr>
      </w:pPr>
      <w:r>
        <w:rPr>
          <w:rFonts w:hint="eastAsia" w:ascii="宋体" w:hAnsi="宋体" w:eastAsia="宋体" w:cs="宋体"/>
          <w:sz w:val="24"/>
        </w:rPr>
        <w:t>1、发生质量问题，接到甲方通知后，应于当日派出专业的维修人员到现场进行检测维修，发生的全部费用由乙方承担，若需送回生产厂，乙方承担往返费用；</w:t>
      </w:r>
    </w:p>
    <w:p w14:paraId="26D27286">
      <w:pPr>
        <w:spacing w:line="360" w:lineRule="auto"/>
        <w:ind w:firstLine="480" w:firstLineChars="200"/>
        <w:rPr>
          <w:rFonts w:ascii="宋体" w:hAnsi="宋体" w:eastAsia="宋体" w:cs="宋体"/>
          <w:sz w:val="24"/>
        </w:rPr>
      </w:pPr>
      <w:r>
        <w:rPr>
          <w:rFonts w:hint="eastAsia" w:ascii="宋体" w:hAnsi="宋体" w:eastAsia="宋体" w:cs="宋体"/>
          <w:sz w:val="24"/>
        </w:rPr>
        <w:t>2、每年不少于</w:t>
      </w:r>
      <w:r>
        <w:rPr>
          <w:rFonts w:hint="eastAsia" w:ascii="宋体" w:hAnsi="宋体" w:eastAsia="宋体" w:cs="宋体"/>
          <w:sz w:val="24"/>
          <w:u w:val="single"/>
        </w:rPr>
        <w:t xml:space="preserve"> </w:t>
      </w:r>
      <w:r>
        <w:rPr>
          <w:rFonts w:ascii="宋体" w:hAnsi="宋体" w:eastAsia="宋体" w:cs="宋体"/>
          <w:sz w:val="24"/>
          <w:u w:val="single"/>
        </w:rPr>
        <w:t>2</w:t>
      </w:r>
      <w:r>
        <w:rPr>
          <w:rFonts w:hint="eastAsia" w:ascii="宋体" w:hAnsi="宋体" w:eastAsia="宋体" w:cs="宋体"/>
          <w:sz w:val="24"/>
          <w:u w:val="single"/>
        </w:rPr>
        <w:t xml:space="preserve"> </w:t>
      </w:r>
      <w:r>
        <w:rPr>
          <w:rFonts w:hint="eastAsia" w:ascii="宋体" w:hAnsi="宋体" w:eastAsia="宋体" w:cs="宋体"/>
          <w:sz w:val="24"/>
        </w:rPr>
        <w:t>次派技术人员到现场走访，给予检查维护；</w:t>
      </w:r>
    </w:p>
    <w:p w14:paraId="783B3B44">
      <w:pPr>
        <w:spacing w:line="360" w:lineRule="auto"/>
        <w:ind w:firstLine="480" w:firstLineChars="200"/>
        <w:rPr>
          <w:rFonts w:ascii="宋体" w:hAnsi="宋体" w:eastAsia="宋体" w:cs="宋体"/>
          <w:sz w:val="24"/>
        </w:rPr>
      </w:pPr>
      <w:r>
        <w:rPr>
          <w:rFonts w:hint="eastAsia" w:ascii="宋体" w:hAnsi="宋体" w:eastAsia="宋体" w:cs="宋体"/>
          <w:sz w:val="24"/>
        </w:rPr>
        <w:t>3、排除故障的期限不超过</w:t>
      </w:r>
      <w:r>
        <w:rPr>
          <w:rFonts w:hint="eastAsia" w:ascii="宋体" w:hAnsi="宋体" w:eastAsia="宋体" w:cs="宋体"/>
          <w:sz w:val="24"/>
          <w:u w:val="single"/>
        </w:rPr>
        <w:t xml:space="preserve"> </w:t>
      </w:r>
      <w:r>
        <w:rPr>
          <w:rFonts w:ascii="宋体" w:hAnsi="宋体" w:eastAsia="宋体" w:cs="宋体"/>
          <w:sz w:val="24"/>
          <w:u w:val="single"/>
        </w:rPr>
        <w:t>48</w:t>
      </w:r>
      <w:r>
        <w:rPr>
          <w:rFonts w:hint="eastAsia" w:ascii="宋体" w:hAnsi="宋体" w:eastAsia="宋体" w:cs="宋体"/>
          <w:sz w:val="24"/>
          <w:u w:val="single"/>
        </w:rPr>
        <w:t xml:space="preserve"> </w:t>
      </w:r>
      <w:r>
        <w:rPr>
          <w:rFonts w:hint="eastAsia" w:ascii="宋体" w:hAnsi="宋体" w:eastAsia="宋体" w:cs="宋体"/>
          <w:sz w:val="24"/>
        </w:rPr>
        <w:t>小时。否则甲方有权指定第三方维修，维修费用由乙方承担，甲方有权直接从履约保证金中扣除或从履约保函中支出，履约保证金无法支付全部维修费用的，超出部分由乙方另行承担。</w:t>
      </w:r>
    </w:p>
    <w:p w14:paraId="7B88A45A">
      <w:pPr>
        <w:spacing w:line="360" w:lineRule="auto"/>
        <w:rPr>
          <w:rFonts w:ascii="宋体" w:hAnsi="宋体" w:eastAsia="宋体" w:cs="宋体"/>
          <w:sz w:val="24"/>
        </w:rPr>
      </w:pPr>
      <w:r>
        <w:rPr>
          <w:rFonts w:hint="eastAsia" w:ascii="宋体" w:hAnsi="宋体" w:eastAsia="宋体" w:cs="宋体"/>
          <w:sz w:val="24"/>
        </w:rPr>
        <w:t>（二）售后服务期结束前，进行系统测试，全面保养维护，确保正常运行。</w:t>
      </w:r>
    </w:p>
    <w:p w14:paraId="220D7462">
      <w:pPr>
        <w:tabs>
          <w:tab w:val="left" w:pos="480"/>
        </w:tabs>
        <w:spacing w:line="360" w:lineRule="auto"/>
        <w:rPr>
          <w:rFonts w:ascii="宋体" w:hAnsi="宋体" w:eastAsia="宋体" w:cs="宋体"/>
          <w:b/>
          <w:bCs/>
          <w:sz w:val="24"/>
        </w:rPr>
      </w:pPr>
      <w:r>
        <w:rPr>
          <w:rFonts w:hint="eastAsia" w:ascii="宋体" w:hAnsi="宋体" w:eastAsia="宋体" w:cs="宋体"/>
          <w:b/>
          <w:bCs/>
          <w:sz w:val="24"/>
        </w:rPr>
        <w:t>八、技术与服务</w:t>
      </w:r>
    </w:p>
    <w:p w14:paraId="5211045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（一）技术资料：</w:t>
      </w:r>
    </w:p>
    <w:p w14:paraId="74737542">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1、货物合格证；</w:t>
      </w:r>
    </w:p>
    <w:p w14:paraId="47188262">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2、货物使用说明书（中文）；</w:t>
      </w:r>
    </w:p>
    <w:p w14:paraId="60B7EA5A">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3、进口货物商检证明和报关单；</w:t>
      </w:r>
    </w:p>
    <w:p w14:paraId="4B64888D">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4、乙方提供相关部门出具的检验测试报告；</w:t>
      </w:r>
    </w:p>
    <w:p w14:paraId="122F3F07">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5、其它资料。</w:t>
      </w:r>
    </w:p>
    <w:p w14:paraId="41815E11">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乙方应在供货时一并提供前述技术资料，否则均视为交付不合格，甲方有权拒绝验收，由此造成的一切后果由乙方承担。</w:t>
      </w:r>
    </w:p>
    <w:p w14:paraId="0DEED076">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（二）培训：乙方须在设备安装调试完成后对甲方操作人员进行完整使用、保养等培训，确保受训人员可熟练、独立使用设备，是否完成培训视为货物验收必备条件之一；</w:t>
      </w:r>
    </w:p>
    <w:p w14:paraId="04BD55DB">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（三）服务承诺：以投标文件、澄清表（函）、合同和随货物的相关文件为准。</w:t>
      </w:r>
    </w:p>
    <w:p w14:paraId="0E6C23B6">
      <w:pPr>
        <w:tabs>
          <w:tab w:val="left" w:pos="480"/>
        </w:tabs>
        <w:spacing w:line="360" w:lineRule="auto"/>
        <w:rPr>
          <w:rFonts w:ascii="宋体" w:hAnsi="宋体" w:eastAsia="宋体" w:cs="宋体"/>
          <w:b/>
          <w:bCs/>
          <w:sz w:val="24"/>
        </w:rPr>
      </w:pPr>
      <w:r>
        <w:rPr>
          <w:rFonts w:hint="eastAsia" w:ascii="宋体" w:hAnsi="宋体" w:eastAsia="宋体" w:cs="宋体"/>
          <w:b/>
          <w:bCs/>
          <w:sz w:val="24"/>
        </w:rPr>
        <w:t>九、验收</w:t>
      </w:r>
    </w:p>
    <w:p w14:paraId="3D3EF23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（一）货物到达甲方指定地点后，甲方根据合同要求，进行外观验收，确认产地、规格、型号和数量。甲乙双方需在约定的时间和地点共同开箱检验。</w:t>
      </w:r>
    </w:p>
    <w:p w14:paraId="3BAEF19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（二）货物安装、调试并正常运行后，由乙方进行自检，合格后能够正常使用时书面通知甲方。</w:t>
      </w:r>
    </w:p>
    <w:p w14:paraId="293228AA">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（三）甲方确认接收乙方的自检内容后，进行验收（必要时请有关专家，由乙方承担聘请专家的费用），验收合格后，由乙方对甲方操作人员进行培训，完成培训后，甲方填写验收单作为对货物的最终认可。</w:t>
      </w:r>
    </w:p>
    <w:p w14:paraId="7DE7C3A5">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（四）乙方向甲方提交货物实施过程中的所有资料。以便甲方日后管理和维护。</w:t>
      </w:r>
    </w:p>
    <w:p w14:paraId="1B044F0D">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（五）</w:t>
      </w:r>
      <w:r>
        <w:rPr>
          <w:rFonts w:hint="eastAsia" w:ascii="宋体" w:hAnsi="宋体" w:eastAsia="宋体" w:cs="宋体"/>
          <w:sz w:val="24"/>
          <w:lang w:eastAsia="zh-Hans"/>
        </w:rPr>
        <w:t>进口</w:t>
      </w:r>
      <w:r>
        <w:rPr>
          <w:rFonts w:hint="eastAsia" w:ascii="宋体" w:hAnsi="宋体" w:eastAsia="宋体" w:cs="宋体"/>
          <w:sz w:val="24"/>
        </w:rPr>
        <w:t>货物验收时必须提供海关证明，验收15日内完成商检手续办理。</w:t>
      </w:r>
    </w:p>
    <w:p w14:paraId="48AD7624">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（六）验收依据：</w:t>
      </w:r>
    </w:p>
    <w:p w14:paraId="50D1A69E">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1、本合同及合同附件。</w:t>
      </w:r>
    </w:p>
    <w:p w14:paraId="4EA9406A">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2、国家相应的标准、规范。</w:t>
      </w:r>
    </w:p>
    <w:p w14:paraId="1E397BC2">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3、招标文件、投标文件、中标通知书、澄清表（函）。</w:t>
      </w:r>
    </w:p>
    <w:p w14:paraId="4314FFFF">
      <w:pPr>
        <w:tabs>
          <w:tab w:val="left" w:pos="480"/>
        </w:tabs>
        <w:spacing w:line="360" w:lineRule="auto"/>
        <w:rPr>
          <w:rFonts w:ascii="宋体" w:hAnsi="宋体" w:eastAsia="宋体" w:cs="宋体"/>
          <w:b/>
          <w:bCs/>
          <w:sz w:val="24"/>
        </w:rPr>
      </w:pPr>
      <w:r>
        <w:rPr>
          <w:rFonts w:hint="eastAsia" w:ascii="宋体" w:hAnsi="宋体" w:eastAsia="宋体" w:cs="宋体"/>
          <w:b/>
          <w:bCs/>
          <w:sz w:val="24"/>
        </w:rPr>
        <w:t>十、违约责任</w:t>
      </w:r>
    </w:p>
    <w:p w14:paraId="1E809D50">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（一）按《政府采购法》、《民法典》中的相关条款执行。</w:t>
      </w:r>
    </w:p>
    <w:p w14:paraId="246D42C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（二）乙方未按合同要求提供货物或质量不能满足本合同、招标文件、投标文件等相关文件要求时，</w:t>
      </w:r>
      <w:r>
        <w:rPr>
          <w:rFonts w:hint="eastAsia" w:ascii="宋体" w:hAnsi="宋体" w:eastAsia="宋体" w:cs="宋体"/>
          <w:sz w:val="24"/>
          <w:lang w:eastAsia="zh-Hans"/>
        </w:rPr>
        <w:t>甲方验收不合格的或出现质量问题，</w:t>
      </w:r>
      <w:r>
        <w:rPr>
          <w:rFonts w:hint="eastAsia" w:ascii="宋体" w:hAnsi="宋体" w:eastAsia="宋体" w:cs="宋体"/>
          <w:sz w:val="24"/>
        </w:rPr>
        <w:t>在约定的条件下，乙方必须无条件按照甲方要求的时限进行更换，提高技术，完善质量，否则，甲方有权解除合同，解除合同书面通知书到达乙方之日视为合同已解除，并按以下两种方式追究乙方的违约责任：</w:t>
      </w:r>
    </w:p>
    <w:p w14:paraId="54FB4A9C">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1、乙方赔偿甲方解除合同的全部损失（包括但不限于重新采购产生的费用、合同未履行导致设备不能按规划交付使用可能产生的租赁费用及其它由此造成的甲方对第三方的违约损失）；</w:t>
      </w:r>
    </w:p>
    <w:p w14:paraId="111E092E">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2、乙方支付甲方违约金，违约金计算方法：以合同总价为基数，支付甲方合同总价的30%为违约金</w:t>
      </w:r>
      <w:r>
        <w:rPr>
          <w:rFonts w:hint="eastAsia" w:ascii="宋体" w:hAnsi="宋体" w:eastAsia="宋体" w:cs="宋体"/>
          <w:sz w:val="24"/>
          <w:lang w:eastAsia="zh-Hans"/>
        </w:rPr>
        <w:t>，</w:t>
      </w:r>
      <w:r>
        <w:rPr>
          <w:rFonts w:hint="eastAsia" w:ascii="宋体" w:hAnsi="宋体" w:eastAsia="宋体" w:cs="宋体"/>
          <w:sz w:val="24"/>
        </w:rPr>
        <w:t>违约金不足以赔偿甲方损失的，由乙方另行承担。</w:t>
      </w:r>
    </w:p>
    <w:p w14:paraId="16E2D228">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同时，甲方有权对乙方的违约行为报监管机构进行相应的处罚。</w:t>
      </w:r>
    </w:p>
    <w:p w14:paraId="14E3FB07">
      <w:pPr>
        <w:tabs>
          <w:tab w:val="left" w:pos="0"/>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（三）乙方逾期交货的，交货期每超过一天，乙方应按照合同总价款的</w:t>
      </w:r>
      <w:r>
        <w:rPr>
          <w:rFonts w:hint="eastAsia" w:ascii="宋体" w:hAnsi="宋体" w:eastAsia="宋体" w:cs="宋体"/>
          <w:sz w:val="24"/>
          <w:u w:val="single"/>
        </w:rPr>
        <w:t xml:space="preserve"> </w:t>
      </w:r>
      <w:r>
        <w:rPr>
          <w:rFonts w:ascii="宋体" w:hAnsi="宋体" w:eastAsia="宋体" w:cs="宋体"/>
          <w:sz w:val="24"/>
          <w:u w:val="single"/>
        </w:rPr>
        <w:t>0.1</w:t>
      </w:r>
      <w:r>
        <w:rPr>
          <w:rFonts w:hint="eastAsia" w:ascii="宋体" w:hAnsi="宋体" w:eastAsia="宋体" w:cs="宋体"/>
          <w:sz w:val="24"/>
          <w:u w:val="single"/>
        </w:rPr>
        <w:t xml:space="preserve"> </w:t>
      </w:r>
      <w:r>
        <w:rPr>
          <w:rFonts w:hint="eastAsia" w:ascii="宋体" w:hAnsi="宋体" w:eastAsia="宋体" w:cs="宋体"/>
          <w:sz w:val="24"/>
        </w:rPr>
        <w:t>%向甲方支付违约金；迟延交货超过</w:t>
      </w:r>
      <w:r>
        <w:rPr>
          <w:rFonts w:hint="eastAsia" w:ascii="宋体" w:hAnsi="宋体" w:eastAsia="宋体" w:cs="宋体"/>
          <w:sz w:val="24"/>
          <w:u w:val="single"/>
        </w:rPr>
        <w:t xml:space="preserve"> </w:t>
      </w:r>
      <w:r>
        <w:rPr>
          <w:rFonts w:ascii="宋体" w:hAnsi="宋体" w:eastAsia="宋体" w:cs="宋体"/>
          <w:sz w:val="24"/>
          <w:u w:val="single"/>
        </w:rPr>
        <w:t>30</w:t>
      </w:r>
      <w:r>
        <w:rPr>
          <w:rFonts w:hint="eastAsia" w:ascii="宋体" w:hAnsi="宋体" w:eastAsia="宋体" w:cs="宋体"/>
          <w:sz w:val="24"/>
          <w:u w:val="single"/>
        </w:rPr>
        <w:t xml:space="preserve"> </w:t>
      </w:r>
      <w:r>
        <w:rPr>
          <w:rFonts w:hint="eastAsia" w:ascii="宋体" w:hAnsi="宋体" w:eastAsia="宋体" w:cs="宋体"/>
          <w:sz w:val="24"/>
        </w:rPr>
        <w:t>天的，视为乙方根本违约，甲方有权依据本条第（二）款之约定单方解除本合同</w:t>
      </w:r>
      <w:r>
        <w:rPr>
          <w:rFonts w:hint="eastAsia" w:ascii="宋体" w:hAnsi="宋体" w:eastAsia="宋体" w:cs="宋体"/>
          <w:sz w:val="24"/>
          <w:lang w:eastAsia="zh-Hans"/>
        </w:rPr>
        <w:t>。</w:t>
      </w:r>
    </w:p>
    <w:p w14:paraId="46530E02">
      <w:pPr>
        <w:tabs>
          <w:tab w:val="left" w:pos="0"/>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（四）乙方违约时，甲方为主张权利而支出的律师费、保全费、保全保险费、差旅费等费用由乙方承担。</w:t>
      </w:r>
    </w:p>
    <w:p w14:paraId="15BFB8C1">
      <w:pPr>
        <w:tabs>
          <w:tab w:val="left" w:pos="0"/>
          <w:tab w:val="left" w:pos="480"/>
        </w:tabs>
        <w:spacing w:line="360" w:lineRule="auto"/>
        <w:ind w:firstLine="480" w:firstLineChars="200"/>
        <w:rPr>
          <w:rFonts w:ascii="宋体" w:hAnsi="宋体" w:eastAsia="宋体" w:cs="宋体"/>
          <w:sz w:val="24"/>
        </w:rPr>
      </w:pPr>
      <w:r>
        <w:rPr>
          <w:rFonts w:hint="eastAsia" w:ascii="宋体" w:hAnsi="宋体" w:eastAsia="宋体" w:cs="宋体"/>
          <w:sz w:val="24"/>
          <w:lang w:eastAsia="zh-Hans"/>
        </w:rPr>
        <w:t>（五）</w:t>
      </w:r>
      <w:r>
        <w:rPr>
          <w:rFonts w:hint="eastAsia" w:ascii="宋体" w:hAnsi="宋体" w:eastAsia="宋体" w:cs="宋体"/>
          <w:sz w:val="24"/>
        </w:rPr>
        <w:t>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1CE6C2DA">
      <w:pPr>
        <w:tabs>
          <w:tab w:val="left" w:pos="480"/>
        </w:tabs>
        <w:spacing w:line="360" w:lineRule="auto"/>
        <w:rPr>
          <w:rFonts w:ascii="宋体" w:hAnsi="宋体" w:eastAsia="宋体" w:cs="宋体"/>
          <w:b/>
          <w:bCs/>
          <w:sz w:val="24"/>
        </w:rPr>
      </w:pPr>
      <w:r>
        <w:rPr>
          <w:rFonts w:hint="eastAsia" w:ascii="宋体" w:hAnsi="宋体" w:eastAsia="宋体" w:cs="宋体"/>
          <w:b/>
          <w:bCs/>
          <w:sz w:val="24"/>
        </w:rPr>
        <w:t>十一、合同争议解决的方式</w:t>
      </w:r>
    </w:p>
    <w:p w14:paraId="1F512A1E">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本合同在履行过程中发生的争议，由甲、乙双方当事人协商解决，协商不成的依法向甲方所在地人民法院起诉。</w:t>
      </w:r>
    </w:p>
    <w:p w14:paraId="51DBC2F7">
      <w:pPr>
        <w:tabs>
          <w:tab w:val="left" w:pos="480"/>
        </w:tabs>
        <w:spacing w:line="360" w:lineRule="auto"/>
        <w:rPr>
          <w:rFonts w:ascii="宋体" w:hAnsi="宋体" w:eastAsia="宋体" w:cs="宋体"/>
          <w:b/>
          <w:bCs/>
          <w:sz w:val="24"/>
        </w:rPr>
      </w:pPr>
      <w:r>
        <w:rPr>
          <w:rFonts w:hint="eastAsia" w:ascii="宋体" w:hAnsi="宋体" w:eastAsia="宋体" w:cs="宋体"/>
          <w:b/>
          <w:bCs/>
          <w:sz w:val="24"/>
        </w:rPr>
        <w:t>十二、合同生效</w:t>
      </w:r>
    </w:p>
    <w:p w14:paraId="0AF14BE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伍 </w:t>
      </w:r>
      <w:r>
        <w:rPr>
          <w:rFonts w:hint="eastAsia" w:ascii="宋体" w:hAnsi="宋体" w:eastAsia="宋体" w:cs="宋体"/>
          <w:sz w:val="24"/>
        </w:rPr>
        <w:t>份，甲方执</w:t>
      </w:r>
      <w:r>
        <w:rPr>
          <w:rFonts w:hint="eastAsia" w:ascii="宋体" w:hAnsi="宋体" w:eastAsia="宋体" w:cs="宋体"/>
          <w:sz w:val="24"/>
          <w:u w:val="single"/>
        </w:rPr>
        <w:t xml:space="preserve"> 叁 </w:t>
      </w:r>
      <w:r>
        <w:rPr>
          <w:rFonts w:hint="eastAsia" w:ascii="宋体" w:hAnsi="宋体" w:eastAsia="宋体" w:cs="宋体"/>
          <w:sz w:val="24"/>
        </w:rPr>
        <w:t>份、乙方执</w:t>
      </w:r>
      <w:r>
        <w:rPr>
          <w:rFonts w:hint="eastAsia" w:ascii="宋体" w:hAnsi="宋体" w:eastAsia="宋体" w:cs="宋体"/>
          <w:sz w:val="24"/>
          <w:u w:val="single"/>
        </w:rPr>
        <w:t xml:space="preserve"> 壹 </w:t>
      </w:r>
      <w:r>
        <w:rPr>
          <w:rFonts w:hint="eastAsia" w:ascii="宋体" w:hAnsi="宋体" w:eastAsia="宋体" w:cs="宋体"/>
          <w:sz w:val="24"/>
        </w:rPr>
        <w:t>份，备案</w:t>
      </w:r>
      <w:r>
        <w:rPr>
          <w:rFonts w:hint="eastAsia" w:ascii="宋体" w:hAnsi="宋体" w:eastAsia="宋体" w:cs="宋体"/>
          <w:sz w:val="24"/>
          <w:u w:val="single"/>
        </w:rPr>
        <w:t xml:space="preserve"> 壹 </w:t>
      </w:r>
      <w:r>
        <w:rPr>
          <w:rFonts w:hint="eastAsia" w:ascii="宋体" w:hAnsi="宋体" w:eastAsia="宋体" w:cs="宋体"/>
          <w:sz w:val="24"/>
        </w:rPr>
        <w:t>份，本合同经甲方、乙方</w:t>
      </w:r>
      <w:r>
        <w:rPr>
          <w:rFonts w:hint="eastAsia" w:ascii="宋体" w:hAnsi="宋体" w:eastAsia="宋体" w:cs="宋体"/>
          <w:sz w:val="24"/>
          <w:lang w:eastAsia="zh-Hans"/>
        </w:rPr>
        <w:t>双方</w:t>
      </w:r>
      <w:r>
        <w:rPr>
          <w:rFonts w:hint="eastAsia" w:ascii="宋体" w:hAnsi="宋体" w:eastAsia="宋体" w:cs="宋体"/>
          <w:sz w:val="24"/>
        </w:rPr>
        <w:t>签字盖章后生效，服务期结束后，自动终止（合同的服务承诺除外）。</w:t>
      </w:r>
    </w:p>
    <w:p w14:paraId="77833D0C">
      <w:pPr>
        <w:tabs>
          <w:tab w:val="left" w:pos="480"/>
        </w:tabs>
        <w:spacing w:line="360" w:lineRule="auto"/>
        <w:rPr>
          <w:rFonts w:ascii="宋体" w:hAnsi="宋体" w:eastAsia="宋体" w:cs="宋体"/>
          <w:b/>
          <w:bCs/>
          <w:sz w:val="24"/>
        </w:rPr>
      </w:pPr>
      <w:r>
        <w:rPr>
          <w:rFonts w:hint="eastAsia" w:ascii="宋体" w:hAnsi="宋体" w:eastAsia="宋体" w:cs="宋体"/>
          <w:b/>
          <w:bCs/>
          <w:sz w:val="24"/>
        </w:rPr>
        <w:t>十三、其他事项</w:t>
      </w:r>
    </w:p>
    <w:p w14:paraId="7FAC7C89">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Hans"/>
        </w:rPr>
        <w:t>一</w:t>
      </w:r>
      <w:r>
        <w:rPr>
          <w:rFonts w:hint="eastAsia" w:ascii="宋体" w:hAnsi="宋体" w:eastAsia="宋体" w:cs="宋体"/>
          <w:sz w:val="24"/>
        </w:rPr>
        <w:t>）陕西省财政局政府采购管理处在合同的履行期间以及履行期后，可以随时检查项目的执行情况，对采购内容、标准进行调查核实，并对发现的问题进行处理。</w:t>
      </w:r>
    </w:p>
    <w:p w14:paraId="41351B13">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Hans"/>
        </w:rPr>
        <w:t>二</w:t>
      </w:r>
      <w:r>
        <w:rPr>
          <w:rFonts w:hint="eastAsia" w:ascii="宋体" w:hAnsi="宋体" w:eastAsia="宋体" w:cs="宋体"/>
          <w:sz w:val="24"/>
        </w:rPr>
        <w:t>）招标文件、投标文件、澄清表（函）、中标通知书、合同附件均成为合同不可分割的部分。</w:t>
      </w:r>
    </w:p>
    <w:p w14:paraId="5DF05B0F">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Hans"/>
        </w:rPr>
        <w:t>三</w:t>
      </w:r>
      <w:r>
        <w:rPr>
          <w:rFonts w:hint="eastAsia" w:ascii="宋体" w:hAnsi="宋体" w:eastAsia="宋体" w:cs="宋体"/>
          <w:sz w:val="24"/>
        </w:rPr>
        <w:t>）合同未尽事宜，由甲、乙双方协商，经见证方确认后，签订补充协议，与原合同具有同等法律效力。</w:t>
      </w:r>
    </w:p>
    <w:p w14:paraId="2333F60F">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Hans"/>
        </w:rPr>
        <w:t>四</w:t>
      </w:r>
      <w:r>
        <w:rPr>
          <w:rFonts w:hint="eastAsia" w:ascii="宋体" w:hAnsi="宋体" w:eastAsia="宋体" w:cs="宋体"/>
          <w:sz w:val="24"/>
        </w:rPr>
        <w:t>）合同一经签订，不得擅自变更、中止或终止合同。对确需变更、调整或中止、终止合同的，有法律规定的按照法律规定，除合同约定外，由甲乙双方再行协商，协商一致前，原合同或条款继续履行。</w:t>
      </w:r>
    </w:p>
    <w:p w14:paraId="1B2F5E4F">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Hans"/>
        </w:rPr>
        <w:t>五</w:t>
      </w:r>
      <w:r>
        <w:rPr>
          <w:rFonts w:hint="eastAsia" w:ascii="宋体" w:hAnsi="宋体" w:eastAsia="宋体" w:cs="宋体"/>
          <w:sz w:val="24"/>
        </w:rPr>
        <w:t>）本合同按照中华人民共和国的现行法律进行解释。</w:t>
      </w:r>
    </w:p>
    <w:p w14:paraId="119C8221">
      <w:pPr>
        <w:tabs>
          <w:tab w:val="left" w:pos="480"/>
        </w:tabs>
        <w:spacing w:line="360" w:lineRule="auto"/>
        <w:ind w:firstLine="480" w:firstLineChars="200"/>
        <w:rPr>
          <w:rFonts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Hans"/>
        </w:rPr>
        <w:t>六</w:t>
      </w:r>
      <w:r>
        <w:rPr>
          <w:rFonts w:hint="eastAsia" w:ascii="宋体" w:hAnsi="宋体" w:eastAsia="宋体" w:cs="宋体"/>
          <w:sz w:val="24"/>
        </w:rPr>
        <w:t>）本合同附件作为本合同的组成部份，与本合同具有同等法律效力。</w:t>
      </w:r>
    </w:p>
    <w:p w14:paraId="58FEE34C">
      <w:pPr>
        <w:tabs>
          <w:tab w:val="left" w:pos="480"/>
        </w:tabs>
        <w:spacing w:line="360" w:lineRule="auto"/>
        <w:ind w:firstLine="240" w:firstLineChars="100"/>
        <w:rPr>
          <w:rFonts w:ascii="宋体" w:hAnsi="宋体" w:eastAsia="宋体" w:cs="宋体"/>
          <w:sz w:val="24"/>
        </w:rPr>
      </w:pPr>
      <w:r>
        <w:rPr>
          <w:rFonts w:hint="eastAsia" w:ascii="宋体" w:hAnsi="宋体" w:eastAsia="宋体" w:cs="宋体"/>
          <w:sz w:val="24"/>
        </w:rPr>
        <w:t>（以下无正文）</w:t>
      </w:r>
    </w:p>
    <w:p w14:paraId="4233150D">
      <w:pPr>
        <w:widowControl/>
        <w:spacing w:line="360" w:lineRule="auto"/>
        <w:jc w:val="left"/>
        <w:rPr>
          <w:rFonts w:ascii="宋体" w:hAnsi="宋体" w:eastAsia="宋体" w:cs="宋体"/>
          <w:sz w:val="24"/>
        </w:rPr>
      </w:pPr>
    </w:p>
    <w:p w14:paraId="643D7323">
      <w:pPr>
        <w:widowControl/>
        <w:spacing w:line="360" w:lineRule="auto"/>
        <w:jc w:val="left"/>
        <w:rPr>
          <w:rFonts w:ascii="宋体" w:hAnsi="宋体" w:eastAsia="宋体" w:cs="宋体"/>
          <w:sz w:val="24"/>
        </w:rPr>
      </w:pPr>
    </w:p>
    <w:p w14:paraId="5B828309">
      <w:pPr>
        <w:widowControl/>
        <w:spacing w:line="360" w:lineRule="auto"/>
        <w:jc w:val="left"/>
        <w:rPr>
          <w:rFonts w:ascii="宋体" w:hAnsi="宋体" w:eastAsia="宋体" w:cs="宋体"/>
          <w:sz w:val="24"/>
        </w:rPr>
      </w:pPr>
    </w:p>
    <w:p w14:paraId="7ECC82F4">
      <w:pPr>
        <w:widowControl/>
        <w:spacing w:line="360" w:lineRule="auto"/>
        <w:jc w:val="left"/>
        <w:rPr>
          <w:rFonts w:ascii="宋体" w:hAnsi="宋体" w:eastAsia="宋体" w:cs="宋体"/>
          <w:sz w:val="24"/>
        </w:rPr>
      </w:pPr>
    </w:p>
    <w:p w14:paraId="302FAAB2">
      <w:pPr>
        <w:widowControl/>
        <w:spacing w:line="360" w:lineRule="auto"/>
        <w:jc w:val="left"/>
        <w:rPr>
          <w:rFonts w:ascii="宋体" w:hAnsi="宋体" w:eastAsia="宋体" w:cs="宋体"/>
          <w:sz w:val="24"/>
        </w:rPr>
      </w:pPr>
    </w:p>
    <w:p w14:paraId="23E3B540">
      <w:pPr>
        <w:widowControl/>
        <w:spacing w:line="360" w:lineRule="auto"/>
        <w:jc w:val="left"/>
        <w:rPr>
          <w:rFonts w:ascii="宋体" w:hAnsi="宋体" w:eastAsia="宋体" w:cs="宋体"/>
          <w:sz w:val="24"/>
        </w:rPr>
      </w:pPr>
    </w:p>
    <w:p w14:paraId="345CC4DF">
      <w:pPr>
        <w:widowControl/>
        <w:spacing w:line="360" w:lineRule="auto"/>
        <w:jc w:val="left"/>
        <w:rPr>
          <w:rFonts w:ascii="宋体" w:hAnsi="宋体" w:eastAsia="宋体" w:cs="宋体"/>
          <w:sz w:val="24"/>
        </w:rPr>
      </w:pPr>
      <w:r>
        <w:rPr>
          <w:rFonts w:hint="eastAsia" w:ascii="宋体" w:hAnsi="宋体" w:eastAsia="宋体" w:cs="宋体"/>
          <w:sz w:val="24"/>
        </w:rPr>
        <w:t xml:space="preserve">甲方:（公章）                     </w:t>
      </w:r>
      <w:r>
        <w:rPr>
          <w:rFonts w:ascii="宋体" w:hAnsi="宋体" w:eastAsia="宋体" w:cs="宋体"/>
          <w:sz w:val="24"/>
        </w:rPr>
        <w:t xml:space="preserve">     </w:t>
      </w:r>
      <w:r>
        <w:rPr>
          <w:rFonts w:hint="eastAsia" w:ascii="宋体" w:hAnsi="宋体" w:eastAsia="宋体" w:cs="宋体"/>
          <w:sz w:val="24"/>
        </w:rPr>
        <w:t>乙方:（公章）</w:t>
      </w:r>
    </w:p>
    <w:p w14:paraId="66317258">
      <w:pPr>
        <w:widowControl/>
        <w:spacing w:line="360" w:lineRule="auto"/>
        <w:jc w:val="left"/>
        <w:rPr>
          <w:rFonts w:ascii="宋体" w:hAnsi="宋体" w:eastAsia="宋体" w:cs="宋体"/>
          <w:sz w:val="24"/>
        </w:rPr>
      </w:pPr>
      <w:r>
        <w:rPr>
          <w:rFonts w:hint="eastAsia" w:ascii="宋体" w:hAnsi="宋体" w:eastAsia="宋体" w:cs="宋体"/>
          <w:sz w:val="24"/>
        </w:rPr>
        <w:t xml:space="preserve">                            </w:t>
      </w:r>
    </w:p>
    <w:p w14:paraId="1822A676">
      <w:pPr>
        <w:tabs>
          <w:tab w:val="left" w:pos="480"/>
        </w:tabs>
        <w:spacing w:line="360" w:lineRule="auto"/>
        <w:ind w:left="6240" w:hanging="6240" w:hangingChars="2600"/>
        <w:rPr>
          <w:rFonts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lang w:eastAsia="zh-Hans"/>
        </w:rPr>
        <w:t>陕西省交通医院</w:t>
      </w:r>
      <w:r>
        <w:rPr>
          <w:rFonts w:hint="eastAsia" w:ascii="宋体" w:hAnsi="宋体" w:eastAsia="宋体" w:cs="宋体"/>
          <w:sz w:val="24"/>
        </w:rPr>
        <w:t xml:space="preserve">               单位名称:</w:t>
      </w:r>
      <w:r>
        <w:rPr>
          <w:rFonts w:hint="eastAsia" w:ascii="黑体" w:hAnsi="黑体" w:eastAsia="黑体" w:cs="黑体"/>
          <w:sz w:val="32"/>
          <w:szCs w:val="32"/>
          <w:lang w:eastAsia="zh-Hans"/>
        </w:rPr>
        <w:t xml:space="preserve"> </w:t>
      </w:r>
      <w:r>
        <w:rPr>
          <w:rFonts w:hint="eastAsia" w:ascii="宋体" w:hAnsi="宋体" w:eastAsia="宋体" w:cs="宋体"/>
          <w:sz w:val="24"/>
        </w:rPr>
        <w:t xml:space="preserve"> </w:t>
      </w:r>
    </w:p>
    <w:p w14:paraId="78478807">
      <w:pPr>
        <w:tabs>
          <w:tab w:val="left" w:pos="480"/>
        </w:tabs>
        <w:spacing w:line="360" w:lineRule="auto"/>
        <w:ind w:left="5460" w:leftChars="2600" w:firstLine="480" w:firstLineChars="200"/>
        <w:rPr>
          <w:rFonts w:ascii="宋体" w:hAnsi="宋体" w:eastAsia="宋体" w:cs="宋体"/>
          <w:sz w:val="24"/>
        </w:rPr>
      </w:pPr>
      <w:r>
        <w:rPr>
          <w:rFonts w:hint="eastAsia" w:ascii="宋体" w:hAnsi="宋体" w:eastAsia="宋体" w:cs="宋体"/>
          <w:sz w:val="24"/>
        </w:rPr>
        <w:t xml:space="preserve"> </w:t>
      </w:r>
    </w:p>
    <w:p w14:paraId="2F7F905F">
      <w:pPr>
        <w:spacing w:line="360" w:lineRule="auto"/>
        <w:ind w:left="6000" w:hanging="6000" w:hangingChars="2500"/>
        <w:rPr>
          <w:rFonts w:ascii="宋体" w:hAnsi="宋体" w:cs="宋体"/>
          <w:sz w:val="24"/>
        </w:rPr>
      </w:pPr>
      <w:r>
        <w:rPr>
          <w:rFonts w:hint="eastAsia" w:ascii="宋体" w:hAnsi="宋体" w:eastAsia="宋体" w:cs="宋体"/>
          <w:sz w:val="24"/>
        </w:rPr>
        <w:t>地址：</w:t>
      </w:r>
      <w:r>
        <w:rPr>
          <w:rFonts w:hint="eastAsia" w:ascii="宋体" w:hAnsi="宋体" w:eastAsia="宋体" w:cs="宋体"/>
          <w:sz w:val="24"/>
          <w:lang w:eastAsia="zh-Hans"/>
        </w:rPr>
        <w:t>西安市碑林区大学南路276号</w:t>
      </w:r>
      <w:r>
        <w:rPr>
          <w:rFonts w:hint="eastAsia" w:ascii="宋体" w:hAnsi="宋体" w:eastAsia="宋体" w:cs="宋体"/>
          <w:sz w:val="24"/>
        </w:rPr>
        <w:t xml:space="preserve">       地址：</w:t>
      </w:r>
      <w:r>
        <w:rPr>
          <w:rFonts w:hint="eastAsia" w:ascii="宋体" w:hAnsi="宋体" w:cs="宋体"/>
          <w:sz w:val="24"/>
        </w:rPr>
        <w:t xml:space="preserve"> </w:t>
      </w:r>
    </w:p>
    <w:p w14:paraId="22A2DB65">
      <w:pPr>
        <w:spacing w:line="360" w:lineRule="auto"/>
        <w:ind w:left="5250" w:leftChars="2500" w:firstLine="120" w:firstLineChars="50"/>
        <w:rPr>
          <w:rFonts w:ascii="宋体" w:hAnsi="宋体" w:eastAsia="宋体" w:cs="宋体"/>
          <w:sz w:val="24"/>
        </w:rPr>
      </w:pPr>
      <w:r>
        <w:rPr>
          <w:rFonts w:ascii="宋体" w:hAnsi="宋体" w:cs="宋体"/>
          <w:sz w:val="24"/>
        </w:rPr>
        <w:t xml:space="preserve"> </w:t>
      </w:r>
    </w:p>
    <w:p w14:paraId="4A2B0B7B">
      <w:pPr>
        <w:tabs>
          <w:tab w:val="left" w:pos="480"/>
        </w:tabs>
        <w:spacing w:line="360" w:lineRule="auto"/>
        <w:rPr>
          <w:rFonts w:ascii="宋体" w:hAnsi="宋体" w:eastAsia="宋体" w:cs="宋体"/>
          <w:sz w:val="24"/>
        </w:rPr>
      </w:pPr>
    </w:p>
    <w:p w14:paraId="50951231">
      <w:pPr>
        <w:tabs>
          <w:tab w:val="left" w:pos="480"/>
        </w:tabs>
        <w:spacing w:line="360" w:lineRule="auto"/>
        <w:rPr>
          <w:rFonts w:ascii="宋体" w:hAnsi="宋体" w:eastAsia="宋体" w:cs="宋体"/>
          <w:sz w:val="24"/>
        </w:rPr>
      </w:pPr>
      <w:r>
        <w:rPr>
          <w:rFonts w:hint="eastAsia" w:ascii="宋体" w:hAnsi="宋体" w:eastAsia="宋体" w:cs="宋体"/>
          <w:sz w:val="24"/>
        </w:rPr>
        <w:t>法定代表人：（签字）                    法定代表人：（签字）</w:t>
      </w:r>
    </w:p>
    <w:p w14:paraId="358CEBAF">
      <w:pPr>
        <w:tabs>
          <w:tab w:val="left" w:pos="480"/>
        </w:tabs>
        <w:spacing w:line="360" w:lineRule="auto"/>
        <w:rPr>
          <w:rFonts w:ascii="宋体" w:hAnsi="宋体" w:eastAsia="宋体" w:cs="宋体"/>
          <w:sz w:val="24"/>
        </w:rPr>
      </w:pPr>
    </w:p>
    <w:p w14:paraId="0B72C14F">
      <w:pPr>
        <w:tabs>
          <w:tab w:val="left" w:pos="480"/>
        </w:tabs>
        <w:spacing w:line="360" w:lineRule="auto"/>
        <w:rPr>
          <w:rFonts w:ascii="宋体" w:hAnsi="宋体" w:eastAsia="宋体" w:cs="宋体"/>
          <w:sz w:val="24"/>
        </w:rPr>
      </w:pPr>
      <w:r>
        <w:rPr>
          <w:rFonts w:hint="eastAsia" w:ascii="宋体" w:hAnsi="宋体" w:eastAsia="宋体" w:cs="宋体"/>
          <w:sz w:val="24"/>
        </w:rPr>
        <w:t>代理人：（签字）                        代理人：（签字）</w:t>
      </w:r>
    </w:p>
    <w:p w14:paraId="44F31A4B">
      <w:pPr>
        <w:tabs>
          <w:tab w:val="left" w:pos="480"/>
        </w:tabs>
        <w:spacing w:line="360" w:lineRule="auto"/>
        <w:rPr>
          <w:rFonts w:ascii="宋体" w:hAnsi="宋体" w:eastAsia="宋体" w:cs="宋体"/>
          <w:sz w:val="24"/>
        </w:rPr>
      </w:pPr>
    </w:p>
    <w:p w14:paraId="3D35E86D">
      <w:pPr>
        <w:tabs>
          <w:tab w:val="left" w:pos="480"/>
        </w:tabs>
        <w:spacing w:line="360" w:lineRule="auto"/>
        <w:rPr>
          <w:rFonts w:ascii="宋体" w:hAnsi="宋体" w:eastAsia="宋体" w:cs="宋体"/>
          <w:sz w:val="24"/>
        </w:rPr>
      </w:pPr>
      <w:r>
        <w:rPr>
          <w:rFonts w:hint="eastAsia" w:ascii="宋体" w:hAnsi="宋体" w:eastAsia="宋体" w:cs="宋体"/>
          <w:sz w:val="24"/>
        </w:rPr>
        <w:t>电话</w:t>
      </w:r>
      <w:r>
        <w:rPr>
          <w:rFonts w:ascii="宋体" w:hAnsi="宋体" w:eastAsia="宋体" w:cs="宋体"/>
          <w:sz w:val="24"/>
        </w:rPr>
        <w:t>：</w:t>
      </w:r>
      <w:r>
        <w:rPr>
          <w:rFonts w:hint="eastAsia" w:ascii="宋体" w:hAnsi="宋体" w:eastAsia="宋体" w:cs="宋体"/>
          <w:sz w:val="24"/>
        </w:rPr>
        <w:t>029-88489770                     电话</w:t>
      </w:r>
      <w:r>
        <w:rPr>
          <w:rFonts w:ascii="宋体" w:hAnsi="宋体" w:eastAsia="宋体" w:cs="宋体"/>
          <w:sz w:val="24"/>
        </w:rPr>
        <w:t xml:space="preserve">： </w:t>
      </w:r>
    </w:p>
    <w:p w14:paraId="2CD1A168">
      <w:pPr>
        <w:tabs>
          <w:tab w:val="left" w:pos="480"/>
        </w:tabs>
        <w:spacing w:line="360" w:lineRule="auto"/>
        <w:ind w:firstLine="4680" w:firstLineChars="1950"/>
        <w:rPr>
          <w:rFonts w:ascii="宋体" w:hAnsi="宋体" w:cs="宋体"/>
          <w:sz w:val="24"/>
          <w:lang w:val="zh-CN"/>
        </w:rPr>
      </w:pPr>
      <w:r>
        <w:rPr>
          <w:rFonts w:hint="eastAsia" w:ascii="宋体" w:hAnsi="宋体" w:eastAsia="宋体" w:cs="宋体"/>
          <w:sz w:val="24"/>
        </w:rPr>
        <w:t>开户银行:</w:t>
      </w:r>
      <w:r>
        <w:rPr>
          <w:rFonts w:hint="eastAsia" w:ascii="宋体" w:hAnsi="宋体" w:cs="宋体"/>
          <w:sz w:val="24"/>
          <w:lang w:val="zh-CN"/>
        </w:rPr>
        <w:t xml:space="preserve">  </w:t>
      </w:r>
    </w:p>
    <w:p w14:paraId="3B2CAF33">
      <w:pPr>
        <w:tabs>
          <w:tab w:val="left" w:pos="480"/>
        </w:tabs>
        <w:spacing w:line="360" w:lineRule="auto"/>
        <w:ind w:firstLine="5880" w:firstLineChars="2450"/>
        <w:rPr>
          <w:rFonts w:ascii="宋体" w:hAnsi="宋体" w:eastAsia="宋体" w:cs="宋体"/>
          <w:sz w:val="24"/>
        </w:rPr>
      </w:pPr>
      <w:r>
        <w:rPr>
          <w:rFonts w:hint="eastAsia" w:ascii="宋体" w:hAnsi="宋体" w:cs="宋体"/>
          <w:sz w:val="24"/>
          <w:lang w:val="zh-CN"/>
        </w:rPr>
        <w:t xml:space="preserve"> </w:t>
      </w:r>
    </w:p>
    <w:p w14:paraId="6DC971D0">
      <w:pPr>
        <w:tabs>
          <w:tab w:val="left" w:pos="480"/>
        </w:tabs>
        <w:spacing w:line="360" w:lineRule="auto"/>
        <w:ind w:firstLine="4680" w:firstLineChars="1950"/>
        <w:rPr>
          <w:rFonts w:ascii="宋体" w:hAnsi="宋体" w:eastAsia="宋体" w:cs="宋体"/>
          <w:sz w:val="24"/>
        </w:rPr>
      </w:pPr>
      <w:r>
        <w:rPr>
          <w:rFonts w:hint="eastAsia" w:ascii="宋体" w:hAnsi="宋体" w:eastAsia="宋体" w:cs="宋体"/>
          <w:sz w:val="24"/>
        </w:rPr>
        <w:t>帐号：</w:t>
      </w:r>
      <w:r>
        <w:rPr>
          <w:rFonts w:ascii="宋体" w:hAnsi="宋体" w:cs="宋体"/>
          <w:sz w:val="24"/>
        </w:rPr>
        <w:t xml:space="preserve"> </w:t>
      </w:r>
    </w:p>
    <w:p w14:paraId="706182AE">
      <w:pPr>
        <w:tabs>
          <w:tab w:val="left" w:pos="480"/>
        </w:tabs>
        <w:spacing w:line="360" w:lineRule="auto"/>
        <w:rPr>
          <w:rFonts w:ascii="宋体" w:hAnsi="宋体" w:eastAsia="宋体" w:cs="宋体"/>
          <w:sz w:val="24"/>
        </w:rPr>
      </w:pPr>
    </w:p>
    <w:p w14:paraId="38497361">
      <w:pPr>
        <w:tabs>
          <w:tab w:val="left" w:pos="480"/>
        </w:tabs>
        <w:spacing w:line="360" w:lineRule="auto"/>
        <w:rPr>
          <w:rFonts w:ascii="宋体" w:hAnsi="宋体" w:eastAsia="宋体" w:cs="宋体"/>
          <w:sz w:val="24"/>
        </w:rPr>
      </w:pPr>
      <w:r>
        <w:rPr>
          <w:rFonts w:hint="eastAsia" w:ascii="宋体" w:hAnsi="宋体" w:eastAsia="宋体" w:cs="宋体"/>
          <w:sz w:val="24"/>
        </w:rPr>
        <w:t>签订日期：   年    月    日            签订日期：   年    月    日</w:t>
      </w:r>
    </w:p>
    <w:p w14:paraId="7060AA4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2E7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2025-10-13T08:49:54Z</dcterms:created>
  <dc:creator>Administrator</dc:creator>
  <cp:lastModifiedBy>Jun</cp:lastModifiedBy>
  <dcterms:modified xsi:type="dcterms:W3CDTF">2025-10-13T08:49:57Z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eyJoZGlkIjoiNTdiYzNlMzRkZTc3MGM3YjQxNTBlMTcyYWQzMGNlNmQiLCJ1c2VySWQiOiIyNTQ0OTA1OTQifQ==</vt:lpwstr>
  </property>
  <property fmtid="{D5CDD505-2E9C-101B-9397-08002B2CF9AE}" pid="4" name="ICV">
    <vt:lpwstr>B0266E8B0B0545309576A24963F40D58_12</vt:lpwstr>
  </property>
</Properties>
</file>